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42FE5" w:rsidRDefault="00441497">
      <w:pPr>
        <w:jc w:val="center"/>
        <w:rPr>
          <w:rFonts w:ascii="PT Sans Caption" w:eastAsia="PT Sans Caption" w:hAnsi="PT Sans Caption" w:cs="PT Sans Caption"/>
          <w:b/>
          <w:sz w:val="24"/>
          <w:szCs w:val="24"/>
        </w:rPr>
      </w:pPr>
      <w:r>
        <w:rPr>
          <w:rFonts w:ascii="PT Sans Caption" w:eastAsia="PT Sans Caption" w:hAnsi="PT Sans Caption" w:cs="PT Sans Caption"/>
          <w:b/>
          <w:sz w:val="24"/>
          <w:szCs w:val="24"/>
        </w:rPr>
        <w:t>UZASADNIENIE</w:t>
      </w:r>
    </w:p>
    <w:p w14:paraId="00000002" w14:textId="77777777" w:rsidR="00B42FE5" w:rsidRDefault="00B42FE5">
      <w:pPr>
        <w:jc w:val="both"/>
        <w:rPr>
          <w:rFonts w:ascii="PT Sans Caption" w:eastAsia="PT Sans Caption" w:hAnsi="PT Sans Caption" w:cs="PT Sans Caption"/>
          <w:b/>
          <w:sz w:val="24"/>
          <w:szCs w:val="24"/>
        </w:rPr>
      </w:pPr>
    </w:p>
    <w:p w14:paraId="00000003" w14:textId="77777777" w:rsidR="00B42FE5" w:rsidRDefault="00441497">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POTRZEBA I CEL WYDANIA AKTU</w:t>
      </w:r>
    </w:p>
    <w:p w14:paraId="00000004" w14:textId="77777777" w:rsidR="00B42FE5" w:rsidRDefault="00B42FE5">
      <w:pPr>
        <w:jc w:val="both"/>
        <w:rPr>
          <w:rFonts w:ascii="PT Sans Caption" w:eastAsia="PT Sans Caption" w:hAnsi="PT Sans Caption" w:cs="PT Sans Caption"/>
          <w:sz w:val="24"/>
          <w:szCs w:val="24"/>
        </w:rPr>
      </w:pPr>
    </w:p>
    <w:p w14:paraId="00000005"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ustawy o rejestrowanych związkach partnerskich ma na celu wprowadzenie do polskiego porządku prawnego nowej instytucji rejestrowanego związku partnerskiego. Rejestrowany związek partnerski oparty będzie na zasadach równości i niedyskryminacji, zapewniając wszystkim osobom, niezależnie od płci, możliwość realizacji ich potrzeb i pragnień życiowych. Zapewnienie możliwości zawarcia rejestrowanego związku partnerskiego przez osoby tej samej i różnej płci będzie chronić te osoby przed wykluczeniem, a także zapewni możliwość jasnego określenia wzajemnych praw i obowiązków. Projekt jest więc odpowiedzią na potrzeby społeczne par tej samej płci, które nie mają dostępu do instytucji małżeństwa, ale także par różnej płci żyjących w związkach nieformalnych, które z różnych przyczyn nie mogą lub nie chcą zawrzeć małżeństwa.</w:t>
      </w:r>
    </w:p>
    <w:p w14:paraId="00000006" w14:textId="77777777" w:rsidR="00B42FE5" w:rsidRDefault="00B42FE5">
      <w:pPr>
        <w:jc w:val="both"/>
        <w:rPr>
          <w:rFonts w:ascii="PT Sans Caption" w:eastAsia="PT Sans Caption" w:hAnsi="PT Sans Caption" w:cs="PT Sans Caption"/>
          <w:sz w:val="24"/>
          <w:szCs w:val="24"/>
        </w:rPr>
      </w:pPr>
    </w:p>
    <w:p w14:paraId="00000007"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Projekt ustawy o rejestrowanych związkach partnerskich ma także na celu wykonanie wyroku Europejskiego Trybunału Praw Człowieka z dnia 12 grudnia 2023 r. w sprawie Przybyszewska i inni przeciwko Polsce. Zgodnie z tym wyrokiem Polska jest zobowiązana do zapewnienia ram prawnych umożliwiających parom tej samej płci odpowiednie uznanie i ochronę ich związku. Ochrona par tej samej płci powinna być „odpowiednia” i zapewniać prawo do wsparcia materialnego, odnosić się do podatków i dziedziczenia, a także nakładać na partnerki i partnerów prawa i obowiązki w zakresie wzajemnej pomocy. W kolejnym wyroku zapadłym przeciwko Polsce (wyrok Europejskiego Trybunału Praw Człowieka z dnia 19 września 2024 r. - </w:t>
      </w:r>
      <w:proofErr w:type="spellStart"/>
      <w:r>
        <w:rPr>
          <w:rFonts w:ascii="PT Sans Caption" w:eastAsia="PT Sans Caption" w:hAnsi="PT Sans Caption" w:cs="PT Sans Caption"/>
          <w:sz w:val="24"/>
          <w:szCs w:val="24"/>
        </w:rPr>
        <w:t>Formela</w:t>
      </w:r>
      <w:proofErr w:type="spellEnd"/>
      <w:r>
        <w:rPr>
          <w:rFonts w:ascii="PT Sans Caption" w:eastAsia="PT Sans Caption" w:hAnsi="PT Sans Caption" w:cs="PT Sans Caption"/>
          <w:sz w:val="24"/>
          <w:szCs w:val="24"/>
        </w:rPr>
        <w:t xml:space="preserve"> i inni przeciwko Polsce, skarga 58828/12 i 4 inne) Trybunał stwierdził, że Polska, odmawiając dokonania transkrypcji (przeniesienia) zagranicznego aktu małżeństwa tej samej płci, odmawia jednocześnie uznania i ochrony związkom osób tej samej płci i narusza ich prawo do poszanowania życia prywatnego i rodzinnego. Skarżący nie mogli skorzystać z urlopu na opiekę nad chorym partnerem, objąć go ubezpieczeniem zdrowotnym, skorzystać ze zwolnień od podatków od spadków i darowizn, byli pozbawieni możliwości wspólnego rozliczenia podatku, możliwości dziedziczenia ustawowego, alimentów i świadczeń w przypadku śmierci partnera. </w:t>
      </w:r>
    </w:p>
    <w:p w14:paraId="00000008" w14:textId="77777777" w:rsidR="00B42FE5" w:rsidRDefault="00B42FE5">
      <w:pPr>
        <w:jc w:val="both"/>
        <w:rPr>
          <w:rFonts w:ascii="PT Sans Caption" w:eastAsia="PT Sans Caption" w:hAnsi="PT Sans Caption" w:cs="PT Sans Caption"/>
          <w:sz w:val="24"/>
          <w:szCs w:val="24"/>
        </w:rPr>
      </w:pPr>
    </w:p>
    <w:p w14:paraId="00000009"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Potrzebę uchwalenia przepisów dotyczących związków partnerskich rekomendują też Polsce międzynarodowe organy ochrony praw człowieka, </w:t>
      </w:r>
      <w:r>
        <w:rPr>
          <w:rFonts w:ascii="PT Sans Caption" w:eastAsia="PT Sans Caption" w:hAnsi="PT Sans Caption" w:cs="PT Sans Caption"/>
          <w:sz w:val="24"/>
          <w:szCs w:val="24"/>
        </w:rPr>
        <w:lastRenderedPageBreak/>
        <w:t>ostatnio Komitet Praw Gospodarczych, Społecznych i Kulturalnych, składający się z 18 niezależnych ekspertów monitorujących wykonywanie Międzynarodowego Paktu Praw Gospodarczych, Społecznych i Kulturalnych (Dz. U. z 1977 r. nr 38, poz. 169). 27 września 2024 r. Komitet opublikował swoje ostatnie uwagi końcowe i rekomendacje dla Polski, zwracając uwagę w kontekście niedyskryminacji m.in. na potrzebę „uchwalenia przepisów dotyczących związków partnerskich w celu zapewnienia parom tej samej płci takich samych praw jak parom heteroseksualnym, w tym praw rodzicielskich i prawnego uznania ich dzieci” (pkt 23 (b) uwag końcowych</w:t>
      </w:r>
      <w:r>
        <w:rPr>
          <w:rFonts w:ascii="PT Sans Caption" w:eastAsia="PT Sans Caption" w:hAnsi="PT Sans Caption" w:cs="PT Sans Caption"/>
          <w:sz w:val="24"/>
          <w:szCs w:val="24"/>
          <w:vertAlign w:val="superscript"/>
        </w:rPr>
        <w:footnoteReference w:id="1"/>
      </w:r>
      <w:r>
        <w:rPr>
          <w:rFonts w:ascii="PT Sans Caption" w:eastAsia="PT Sans Caption" w:hAnsi="PT Sans Caption" w:cs="PT Sans Caption"/>
          <w:sz w:val="24"/>
          <w:szCs w:val="24"/>
        </w:rPr>
        <w:t>).</w:t>
      </w:r>
    </w:p>
    <w:p w14:paraId="0000000A" w14:textId="77777777" w:rsidR="00B42FE5" w:rsidRDefault="00B42FE5">
      <w:pPr>
        <w:jc w:val="both"/>
        <w:rPr>
          <w:rFonts w:ascii="PT Sans Caption" w:eastAsia="PT Sans Caption" w:hAnsi="PT Sans Caption" w:cs="PT Sans Caption"/>
          <w:sz w:val="24"/>
          <w:szCs w:val="24"/>
        </w:rPr>
      </w:pPr>
    </w:p>
    <w:p w14:paraId="0000000B"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Tylko w ostatnich latach do zaadresowania problemu nieuznawania związków osób tej samej płci wzywała Polskę także Europejska Komisja przeciwko Rasizmowi i Nietolerancji (ECRI) - ECRI w szczególności odnotowała brak możliwości dziedziczenia i prawa do pochówku (pkt 32 raportu z 27 czerwca 2023 r.</w:t>
      </w:r>
      <w:r>
        <w:rPr>
          <w:rFonts w:ascii="PT Sans Caption" w:eastAsia="PT Sans Caption" w:hAnsi="PT Sans Caption" w:cs="PT Sans Caption"/>
          <w:sz w:val="24"/>
          <w:szCs w:val="24"/>
          <w:vertAlign w:val="superscript"/>
        </w:rPr>
        <w:footnoteReference w:id="2"/>
      </w:r>
      <w:r>
        <w:rPr>
          <w:rFonts w:ascii="PT Sans Caption" w:eastAsia="PT Sans Caption" w:hAnsi="PT Sans Caption" w:cs="PT Sans Caption"/>
          <w:sz w:val="24"/>
          <w:szCs w:val="24"/>
        </w:rPr>
        <w:t>). Wreszcie do przyznania efektywnej i niedyskryminującej ochrony prawnej parom tej samej płci w formie małżeństwa, związków cywilnych lub czy rejestrowanych związków partnerskich zachęcał Polskę Komisarz Praw Człowieka Rady Europy w memorandum na temat stygmatyzacji osób LGBTI w Polsce z dnia 3 grudnia 2020 r. (pkt 16</w:t>
      </w:r>
      <w:r>
        <w:rPr>
          <w:rFonts w:ascii="PT Sans Caption" w:eastAsia="PT Sans Caption" w:hAnsi="PT Sans Caption" w:cs="PT Sans Caption"/>
          <w:sz w:val="24"/>
          <w:szCs w:val="24"/>
          <w:vertAlign w:val="superscript"/>
        </w:rPr>
        <w:footnoteReference w:id="3"/>
      </w:r>
      <w:r>
        <w:rPr>
          <w:rFonts w:ascii="PT Sans Caption" w:eastAsia="PT Sans Caption" w:hAnsi="PT Sans Caption" w:cs="PT Sans Caption"/>
          <w:sz w:val="24"/>
          <w:szCs w:val="24"/>
        </w:rPr>
        <w:t>).</w:t>
      </w:r>
    </w:p>
    <w:p w14:paraId="0000000C" w14:textId="77777777" w:rsidR="00B42FE5" w:rsidRDefault="00B42FE5">
      <w:pPr>
        <w:jc w:val="both"/>
        <w:rPr>
          <w:rFonts w:ascii="PT Sans Caption" w:eastAsia="PT Sans Caption" w:hAnsi="PT Sans Caption" w:cs="PT Sans Caption"/>
          <w:sz w:val="24"/>
          <w:szCs w:val="24"/>
        </w:rPr>
      </w:pPr>
    </w:p>
    <w:p w14:paraId="0000000D"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Na to, że Polska wciąż nie uregulowała prawnej sytuacji par jednopłciowych zwraca też uwagę międzynarodowa organizacja pozarządowa ILGA-Europe, publikująca coroczny ranking, ilustrujący poziom równouprawnienia (na podstawie analizy krajowego prawodawstwa) społeczności LGBT (lesbijek, gejów, osób biseksualnych i transpłciowych) w europejskich krajach. Od pięciu lat Polska zajmuje w nim ostatnie miejsce w Unii Europejskiej. Ranking odnosi się do siedmiu kategorii: równość i zakaz dyskryminacji, rodzina, przestępstwa z nienawiści i mowa nienawiści, uzgodnienie płci i integralność cielesna, wolności obywatelskie, integralność cielesna osób interpłciowych, prawo do azylu. W roku 2024 Polska uzyskała 17,50% punktacji.</w:t>
      </w:r>
    </w:p>
    <w:p w14:paraId="0000000E" w14:textId="77777777" w:rsidR="00B42FE5" w:rsidRDefault="00B42FE5">
      <w:pPr>
        <w:jc w:val="both"/>
        <w:rPr>
          <w:rFonts w:ascii="PT Sans Caption" w:eastAsia="PT Sans Caption" w:hAnsi="PT Sans Caption" w:cs="PT Sans Caption"/>
          <w:sz w:val="24"/>
          <w:szCs w:val="24"/>
        </w:rPr>
      </w:pPr>
    </w:p>
    <w:p w14:paraId="0000000F"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 xml:space="preserve">Projektowane w ustawie rozwiązania odpowiadają na potrzeby społeczne, co pokazuje wiele badań i sondaży z ostatnich lat, w których poparcie dla związków partnerskich sięga 50-60%. Z badania </w:t>
      </w:r>
      <w:proofErr w:type="spellStart"/>
      <w:r>
        <w:rPr>
          <w:rFonts w:ascii="PT Sans Caption" w:eastAsia="PT Sans Caption" w:hAnsi="PT Sans Caption" w:cs="PT Sans Caption"/>
          <w:sz w:val="24"/>
          <w:szCs w:val="24"/>
        </w:rPr>
        <w:t>IBRiS</w:t>
      </w:r>
      <w:proofErr w:type="spellEnd"/>
      <w:r>
        <w:rPr>
          <w:rFonts w:ascii="PT Sans Caption" w:eastAsia="PT Sans Caption" w:hAnsi="PT Sans Caption" w:cs="PT Sans Caption"/>
          <w:sz w:val="24"/>
          <w:szCs w:val="24"/>
        </w:rPr>
        <w:t xml:space="preserve"> dla Radia Zet z 2022 r. dowiadujemy się, że 64,3% Polaków uważa, że pary jednopłciowe powinny mieć możliwość zawierania związków partnerskich. Badanie United </w:t>
      </w:r>
      <w:proofErr w:type="spellStart"/>
      <w:r>
        <w:rPr>
          <w:rFonts w:ascii="PT Sans Caption" w:eastAsia="PT Sans Caption" w:hAnsi="PT Sans Caption" w:cs="PT Sans Caption"/>
          <w:sz w:val="24"/>
          <w:szCs w:val="24"/>
        </w:rPr>
        <w:t>Survey</w:t>
      </w:r>
      <w:proofErr w:type="spellEnd"/>
      <w:r>
        <w:rPr>
          <w:rFonts w:ascii="PT Sans Caption" w:eastAsia="PT Sans Caption" w:hAnsi="PT Sans Caption" w:cs="PT Sans Caption"/>
          <w:sz w:val="24"/>
          <w:szCs w:val="24"/>
        </w:rPr>
        <w:t xml:space="preserve"> dla radia RMF.FM z maja 2024 r. wskazuje na 66% poparcia, a </w:t>
      </w:r>
      <w:proofErr w:type="spellStart"/>
      <w:r>
        <w:rPr>
          <w:rFonts w:ascii="PT Sans Caption" w:eastAsia="PT Sans Caption" w:hAnsi="PT Sans Caption" w:cs="PT Sans Caption"/>
          <w:sz w:val="24"/>
          <w:szCs w:val="24"/>
        </w:rPr>
        <w:t>IBRiS</w:t>
      </w:r>
      <w:proofErr w:type="spellEnd"/>
      <w:r>
        <w:rPr>
          <w:rFonts w:ascii="PT Sans Caption" w:eastAsia="PT Sans Caption" w:hAnsi="PT Sans Caption" w:cs="PT Sans Caption"/>
          <w:sz w:val="24"/>
          <w:szCs w:val="24"/>
        </w:rPr>
        <w:t xml:space="preserve"> dla “Rzeczpospolitej” z czerwca 2024 r. na 62,6%. Poparcie dla tego typu rozwiązania wskazują już też ostatnie badania CBOS: 52% poparcia dla związków partnerskich dla par tej samej płci i 90% poparcia dla związków partnerskich dla par różnej płci. Sondaż IPSOS dla </w:t>
      </w:r>
      <w:proofErr w:type="spellStart"/>
      <w:r>
        <w:rPr>
          <w:rFonts w:ascii="PT Sans Caption" w:eastAsia="PT Sans Caption" w:hAnsi="PT Sans Caption" w:cs="PT Sans Caption"/>
          <w:sz w:val="24"/>
          <w:szCs w:val="24"/>
        </w:rPr>
        <w:t>More</w:t>
      </w:r>
      <w:proofErr w:type="spellEnd"/>
      <w:r>
        <w:rPr>
          <w:rFonts w:ascii="PT Sans Caption" w:eastAsia="PT Sans Caption" w:hAnsi="PT Sans Caption" w:cs="PT Sans Caption"/>
          <w:sz w:val="24"/>
          <w:szCs w:val="24"/>
        </w:rPr>
        <w:t xml:space="preserve"> in </w:t>
      </w:r>
      <w:proofErr w:type="spellStart"/>
      <w:r>
        <w:rPr>
          <w:rFonts w:ascii="PT Sans Caption" w:eastAsia="PT Sans Caption" w:hAnsi="PT Sans Caption" w:cs="PT Sans Caption"/>
          <w:sz w:val="24"/>
          <w:szCs w:val="24"/>
        </w:rPr>
        <w:t>Common</w:t>
      </w:r>
      <w:proofErr w:type="spellEnd"/>
      <w:r>
        <w:rPr>
          <w:rFonts w:ascii="PT Sans Caption" w:eastAsia="PT Sans Caption" w:hAnsi="PT Sans Caption" w:cs="PT Sans Caption"/>
          <w:sz w:val="24"/>
          <w:szCs w:val="24"/>
        </w:rPr>
        <w:t xml:space="preserve"> Polska z końca września 2024 r. przynosi także zmianę w podejściu do równości małżeńskiej, którą poparło 51% Polek i Polaków. Związki partnerskie we wspomnianym badaniu cieszą się poparciem 62% ankietowanych. Potrzebę taką wyrażają też sami zainteresowani: z badania “Sytuacja społeczna osób LGBTA w Polsce. Raport za lata 2019–2020”, pod red. Kampanii Przeciw Homofobii i Stowarzyszenia Lambda Warszawa dowiadujemy się, że 87,2% ankietowanych zawarłoby związek partnerski, gdyby w Polsce istniała taka możliwość, a 69% zawarłoby małżeństwo. 3,7% (czyli ok. 18 tys. osób) już sformalizowało swój związek za granicą (gdyby nie przeszkody finansowe zrobiłoby to 70%). 4% badanych wychowuje z partnerem/partnerką dzieci.</w:t>
      </w:r>
    </w:p>
    <w:p w14:paraId="00000010" w14:textId="77777777" w:rsidR="00B42FE5" w:rsidRDefault="00B42FE5">
      <w:pPr>
        <w:jc w:val="both"/>
        <w:rPr>
          <w:rFonts w:ascii="PT Sans Caption" w:eastAsia="PT Sans Caption" w:hAnsi="PT Sans Caption" w:cs="PT Sans Caption"/>
          <w:sz w:val="24"/>
          <w:szCs w:val="24"/>
        </w:rPr>
      </w:pPr>
    </w:p>
    <w:p w14:paraId="00000011"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Głównymi celami projektu ustawy o rejestrowanym związku partnerskim są więc:</w:t>
      </w:r>
    </w:p>
    <w:p w14:paraId="00000012"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wprowadzenie nowej instytucji do polskiego prawa, które zapewni ochronę parom jednopłciowym i umożliwi parom różnopłciowym formalizację ich związku,</w:t>
      </w:r>
    </w:p>
    <w:p w14:paraId="00000013"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odpowiedź na potrzeby społeczne, ale też wyzwania, związane ze zmieniającym się społeczeństwem, modelem rodziny, demografią, stylem życia,</w:t>
      </w:r>
    </w:p>
    <w:p w14:paraId="00000014"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wykonanie wyroku </w:t>
      </w:r>
      <w:proofErr w:type="spellStart"/>
      <w:r>
        <w:rPr>
          <w:rFonts w:ascii="PT Sans Caption" w:eastAsia="PT Sans Caption" w:hAnsi="PT Sans Caption" w:cs="PT Sans Caption"/>
          <w:sz w:val="24"/>
          <w:szCs w:val="24"/>
        </w:rPr>
        <w:t>ETPCz</w:t>
      </w:r>
      <w:proofErr w:type="spellEnd"/>
      <w:r>
        <w:rPr>
          <w:rFonts w:ascii="PT Sans Caption" w:eastAsia="PT Sans Caption" w:hAnsi="PT Sans Caption" w:cs="PT Sans Caption"/>
          <w:sz w:val="24"/>
          <w:szCs w:val="24"/>
        </w:rPr>
        <w:t xml:space="preserve"> przeciwko Polsce z grudnia 2023 roku (po podobnym wyroku związki wprowadziły np. Włochy - w 2016 roku) i z września 2024 r.,</w:t>
      </w:r>
    </w:p>
    <w:p w14:paraId="00000015"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uznanie zagwarantowanej w Konstytucji RP przyrodzonej godności i równości wszystkich obywateli wobec prawa,</w:t>
      </w:r>
    </w:p>
    <w:p w14:paraId="00000016"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realizacja międzynarodowych zobowiązań i wdrożenie zaleceń dotyczących</w:t>
      </w:r>
    </w:p>
    <w:p w14:paraId="00000017" w14:textId="77777777" w:rsidR="00B42FE5" w:rsidRDefault="00441497">
      <w:pPr>
        <w:numPr>
          <w:ilvl w:val="0"/>
          <w:numId w:val="1"/>
        </w:num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niedyskryminacji i poszanowania godności i prawa do życia rodzinnego i prywatnego każdej osoby.</w:t>
      </w:r>
    </w:p>
    <w:p w14:paraId="00000018"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Potrzeby dotyczące projektu ustawy były omawiane i konsultowane z organizacjami pozarządowymi oraz grupami nieformalnymi działającymi na rzecz osób LGBT i ich rodzin od stycznia do września 2024 r., podczas spotkań na żywo oraz online.</w:t>
      </w:r>
    </w:p>
    <w:p w14:paraId="00000019" w14:textId="77777777" w:rsidR="00B42FE5" w:rsidRDefault="00B42FE5">
      <w:pPr>
        <w:jc w:val="both"/>
        <w:rPr>
          <w:rFonts w:ascii="PT Sans Caption" w:eastAsia="PT Sans Caption" w:hAnsi="PT Sans Caption" w:cs="PT Sans Caption"/>
          <w:sz w:val="24"/>
          <w:szCs w:val="24"/>
        </w:rPr>
      </w:pPr>
    </w:p>
    <w:p w14:paraId="0000001A" w14:textId="77777777" w:rsidR="00B42FE5" w:rsidRDefault="00441497">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STAN FAKTYCZNY</w:t>
      </w:r>
    </w:p>
    <w:p w14:paraId="0000001B" w14:textId="77777777" w:rsidR="00B42FE5" w:rsidRDefault="00B42FE5">
      <w:pPr>
        <w:jc w:val="both"/>
        <w:rPr>
          <w:rFonts w:ascii="PT Sans Caption" w:eastAsia="PT Sans Caption" w:hAnsi="PT Sans Caption" w:cs="PT Sans Caption"/>
          <w:sz w:val="24"/>
          <w:szCs w:val="24"/>
        </w:rPr>
      </w:pPr>
    </w:p>
    <w:p w14:paraId="0000001C"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 obecnym momencie w Polsce istnieje tylko jedna forma instytucjonalizacji związku dwóch osób - małżeństwo. To usankcjonowany, trwały i równoprawny związek między kobietą i mężczyzną, który zostaje zawarty przed kierownikiem Urzędu Stanu Cywilnego poprzez złożenie oświadczenia o wstępowaniu ze sobą w związek małżeński. Oświadczenie takie powinno być złożone publicznie i w obecności dwóch pełnoletnich świadków. Tymczasem istnieje ogromna liczba osób żyjących w związkach nieformalnych, dla których instytucja małżeństwa jest nieadekwatna lub - jeśli są to związki osób tej samej płci albo związki osób z niepełnosprawnością psychiczną lub intelektualną - w obecnym stanie prawnym w Polsce wciąż niedostępna.</w:t>
      </w:r>
    </w:p>
    <w:p w14:paraId="0000001D" w14:textId="77777777" w:rsidR="00B42FE5" w:rsidRDefault="00B42FE5">
      <w:pPr>
        <w:jc w:val="both"/>
        <w:rPr>
          <w:rFonts w:ascii="PT Sans Caption" w:eastAsia="PT Sans Caption" w:hAnsi="PT Sans Caption" w:cs="PT Sans Caption"/>
          <w:sz w:val="24"/>
          <w:szCs w:val="24"/>
        </w:rPr>
      </w:pPr>
    </w:p>
    <w:p w14:paraId="0000001E"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 Narodowego Spisu Powszechnego w 2021 r. dowiadujemy się, że w ostatniej dekadzie w Polsce ubyło 800 tys. rodzin, czyli 7,4%. Spada liczba małżeństw, ale rośnie liczba związków nieformalnych osób różnej płci: wg Spisu Powszechnego w 2011 r. było ich 316,5 tys., a w 2021 – 552,8 tys. Rośnie też liczba małżeństw bez dzieci - w ciągu dekady liczba dzieci wychowywanych w małżeństwach zmniejszyła się o 13.9%.</w:t>
      </w:r>
    </w:p>
    <w:p w14:paraId="0000001F" w14:textId="77777777" w:rsidR="00B42FE5" w:rsidRDefault="00B42FE5">
      <w:pPr>
        <w:jc w:val="both"/>
        <w:rPr>
          <w:rFonts w:ascii="PT Sans Caption" w:eastAsia="PT Sans Caption" w:hAnsi="PT Sans Caption" w:cs="PT Sans Caption"/>
          <w:sz w:val="24"/>
          <w:szCs w:val="24"/>
        </w:rPr>
      </w:pPr>
    </w:p>
    <w:p w14:paraId="00000020"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 kolei z danych zgromadzonych w ramach Europejskiego Sondażu Społecznego wynika, że 10,8% respondentów (osób powyżej 15 roku życia), którzy pozostają w związku i z kimś wspólnie zamieszkują, to osoby żyjące w związkach nieformalnych (nie w małżeństwach). Przedstawiając to w liczbach bezwzględnych, w 2022 r. wg Europejskiego Sondażu Społecznego w Polsce żyło ok. 2 230 tys. osób w związkach nieformalnych, mieszkających ze sobą, z czego ok. 207 tys. to osoby w związkach różnej płci, a ok. 162 tys. to osoby w związkach tej samej płci.</w:t>
      </w:r>
    </w:p>
    <w:p w14:paraId="00000021" w14:textId="77777777" w:rsidR="00B42FE5" w:rsidRDefault="00B42FE5">
      <w:pPr>
        <w:jc w:val="both"/>
        <w:rPr>
          <w:rFonts w:ascii="PT Sans Caption" w:eastAsia="PT Sans Caption" w:hAnsi="PT Sans Caption" w:cs="PT Sans Caption"/>
          <w:sz w:val="24"/>
          <w:szCs w:val="24"/>
        </w:rPr>
      </w:pPr>
    </w:p>
    <w:p w14:paraId="00000022"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Obecnie 22 z 27 państw Unii Europejskiej oraz 9 innych państw europejskich (Norwegia, Islandia, Wielka Brytania, Szwajcaria, Andora, Liechtenstein, San Marino, Monako, Czarnogóra) przewiduje możliwość zawarcia związku przez osoby tej samej płci w formie małżeństwa lub zarejestrowanego związku </w:t>
      </w:r>
      <w:r>
        <w:rPr>
          <w:rFonts w:ascii="PT Sans Caption" w:eastAsia="PT Sans Caption" w:hAnsi="PT Sans Caption" w:cs="PT Sans Caption"/>
          <w:sz w:val="24"/>
          <w:szCs w:val="24"/>
        </w:rPr>
        <w:lastRenderedPageBreak/>
        <w:t xml:space="preserve">partnerskiego. Do państw członkowskich Unii Europejskiej, które obecnie nie przewidują takiej możliwości, należą tylko Bułgaria, Litwa, Polska, Słowacja i Rumunia. </w:t>
      </w:r>
    </w:p>
    <w:p w14:paraId="00000023" w14:textId="77777777" w:rsidR="00B42FE5" w:rsidRDefault="00B42FE5">
      <w:pPr>
        <w:jc w:val="both"/>
        <w:rPr>
          <w:rFonts w:ascii="PT Sans Caption" w:eastAsia="PT Sans Caption" w:hAnsi="PT Sans Caption" w:cs="PT Sans Caption"/>
          <w:sz w:val="24"/>
          <w:szCs w:val="24"/>
        </w:rPr>
      </w:pPr>
    </w:p>
    <w:p w14:paraId="00000024"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Instytucja związku partnerskiego jest powszechnie znana w innych państwach europejskich, a także poza Europą. Została ona wprowadzona m.in. w następujących jurysdykcjach: Dania - </w:t>
      </w:r>
      <w:proofErr w:type="spellStart"/>
      <w:r>
        <w:rPr>
          <w:rFonts w:ascii="PT Sans Caption" w:eastAsia="PT Sans Caption" w:hAnsi="PT Sans Caption" w:cs="PT Sans Caption"/>
          <w:sz w:val="24"/>
          <w:szCs w:val="24"/>
        </w:rPr>
        <w:t>Registreret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partnerskab</w:t>
      </w:r>
      <w:proofErr w:type="spellEnd"/>
      <w:r>
        <w:rPr>
          <w:rFonts w:ascii="PT Sans Caption" w:eastAsia="PT Sans Caption" w:hAnsi="PT Sans Caption" w:cs="PT Sans Caption"/>
          <w:sz w:val="24"/>
          <w:szCs w:val="24"/>
        </w:rPr>
        <w:t xml:space="preserve"> (1989); Norwegia – </w:t>
      </w:r>
      <w:proofErr w:type="spellStart"/>
      <w:r>
        <w:rPr>
          <w:rFonts w:ascii="PT Sans Caption" w:eastAsia="PT Sans Caption" w:hAnsi="PT Sans Caption" w:cs="PT Sans Caption"/>
          <w:sz w:val="24"/>
          <w:szCs w:val="24"/>
        </w:rPr>
        <w:t>registrert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partnerskap</w:t>
      </w:r>
      <w:proofErr w:type="spellEnd"/>
      <w:r>
        <w:rPr>
          <w:rFonts w:ascii="PT Sans Caption" w:eastAsia="PT Sans Caption" w:hAnsi="PT Sans Caption" w:cs="PT Sans Caption"/>
          <w:sz w:val="24"/>
          <w:szCs w:val="24"/>
        </w:rPr>
        <w:t xml:space="preserve">, Szwecja – </w:t>
      </w:r>
      <w:proofErr w:type="spellStart"/>
      <w:r>
        <w:rPr>
          <w:rFonts w:ascii="PT Sans Caption" w:eastAsia="PT Sans Caption" w:hAnsi="PT Sans Caption" w:cs="PT Sans Caption"/>
          <w:sz w:val="24"/>
          <w:szCs w:val="24"/>
        </w:rPr>
        <w:t>registrerat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partnerskap</w:t>
      </w:r>
      <w:proofErr w:type="spellEnd"/>
      <w:r>
        <w:rPr>
          <w:rFonts w:ascii="PT Sans Caption" w:eastAsia="PT Sans Caption" w:hAnsi="PT Sans Caption" w:cs="PT Sans Caption"/>
          <w:sz w:val="24"/>
          <w:szCs w:val="24"/>
        </w:rPr>
        <w:t xml:space="preserve"> (1994), Islandia – </w:t>
      </w:r>
      <w:proofErr w:type="spellStart"/>
      <w:r>
        <w:rPr>
          <w:rFonts w:ascii="PT Sans Caption" w:eastAsia="PT Sans Caption" w:hAnsi="PT Sans Caption" w:cs="PT Sans Caption"/>
          <w:sz w:val="24"/>
          <w:szCs w:val="24"/>
        </w:rPr>
        <w:t>staofesta</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samvist</w:t>
      </w:r>
      <w:proofErr w:type="spellEnd"/>
      <w:r>
        <w:rPr>
          <w:rFonts w:ascii="PT Sans Caption" w:eastAsia="PT Sans Caption" w:hAnsi="PT Sans Caption" w:cs="PT Sans Caption"/>
          <w:sz w:val="24"/>
          <w:szCs w:val="24"/>
        </w:rPr>
        <w:t xml:space="preserve"> (1996), Holandia – </w:t>
      </w:r>
      <w:proofErr w:type="spellStart"/>
      <w:r>
        <w:rPr>
          <w:rFonts w:ascii="PT Sans Caption" w:eastAsia="PT Sans Caption" w:hAnsi="PT Sans Caption" w:cs="PT Sans Caption"/>
          <w:sz w:val="24"/>
          <w:szCs w:val="24"/>
        </w:rPr>
        <w:t>geregistreerd</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partnerschap</w:t>
      </w:r>
      <w:proofErr w:type="spellEnd"/>
      <w:r>
        <w:rPr>
          <w:rFonts w:ascii="PT Sans Caption" w:eastAsia="PT Sans Caption" w:hAnsi="PT Sans Caption" w:cs="PT Sans Caption"/>
          <w:sz w:val="24"/>
          <w:szCs w:val="24"/>
        </w:rPr>
        <w:t xml:space="preserve"> (1997), Belgia – fr. </w:t>
      </w:r>
      <w:proofErr w:type="spellStart"/>
      <w:r>
        <w:rPr>
          <w:rFonts w:ascii="PT Sans Caption" w:eastAsia="PT Sans Caption" w:hAnsi="PT Sans Caption" w:cs="PT Sans Caption"/>
          <w:sz w:val="24"/>
          <w:szCs w:val="24"/>
        </w:rPr>
        <w:t>cohabitation</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légale</w:t>
      </w:r>
      <w:proofErr w:type="spellEnd"/>
      <w:r>
        <w:rPr>
          <w:rFonts w:ascii="PT Sans Caption" w:eastAsia="PT Sans Caption" w:hAnsi="PT Sans Caption" w:cs="PT Sans Caption"/>
          <w:sz w:val="24"/>
          <w:szCs w:val="24"/>
        </w:rPr>
        <w:t xml:space="preserve">, hol. </w:t>
      </w:r>
      <w:proofErr w:type="spellStart"/>
      <w:r>
        <w:rPr>
          <w:rFonts w:ascii="PT Sans Caption" w:eastAsia="PT Sans Caption" w:hAnsi="PT Sans Caption" w:cs="PT Sans Caption"/>
          <w:sz w:val="24"/>
          <w:szCs w:val="24"/>
        </w:rPr>
        <w:t>wettelijke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samenwoning</w:t>
      </w:r>
      <w:proofErr w:type="spellEnd"/>
      <w:r>
        <w:rPr>
          <w:rFonts w:ascii="PT Sans Caption" w:eastAsia="PT Sans Caption" w:hAnsi="PT Sans Caption" w:cs="PT Sans Caption"/>
          <w:sz w:val="24"/>
          <w:szCs w:val="24"/>
        </w:rPr>
        <w:t xml:space="preserve">, Kalifornia (USA) – </w:t>
      </w:r>
      <w:proofErr w:type="spellStart"/>
      <w:r>
        <w:rPr>
          <w:rFonts w:ascii="PT Sans Caption" w:eastAsia="PT Sans Caption" w:hAnsi="PT Sans Caption" w:cs="PT Sans Caption"/>
          <w:sz w:val="24"/>
          <w:szCs w:val="24"/>
        </w:rPr>
        <w:t>domestic</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partnership</w:t>
      </w:r>
      <w:proofErr w:type="spellEnd"/>
      <w:r>
        <w:rPr>
          <w:rFonts w:ascii="PT Sans Caption" w:eastAsia="PT Sans Caption" w:hAnsi="PT Sans Caption" w:cs="PT Sans Caption"/>
          <w:sz w:val="24"/>
          <w:szCs w:val="24"/>
        </w:rPr>
        <w:t xml:space="preserve"> (1998), Francja – </w:t>
      </w:r>
      <w:proofErr w:type="spellStart"/>
      <w:r>
        <w:rPr>
          <w:rFonts w:ascii="PT Sans Caption" w:eastAsia="PT Sans Caption" w:hAnsi="PT Sans Caption" w:cs="PT Sans Caption"/>
          <w:sz w:val="24"/>
          <w:szCs w:val="24"/>
        </w:rPr>
        <w:t>pacte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de </w:t>
      </w:r>
      <w:proofErr w:type="spellStart"/>
      <w:r>
        <w:rPr>
          <w:rFonts w:ascii="PT Sans Caption" w:eastAsia="PT Sans Caption" w:hAnsi="PT Sans Caption" w:cs="PT Sans Caption"/>
          <w:sz w:val="24"/>
          <w:szCs w:val="24"/>
        </w:rPr>
        <w:t>solidarité</w:t>
      </w:r>
      <w:proofErr w:type="spellEnd"/>
      <w:r>
        <w:rPr>
          <w:rFonts w:ascii="PT Sans Caption" w:eastAsia="PT Sans Caption" w:hAnsi="PT Sans Caption" w:cs="PT Sans Caption"/>
          <w:sz w:val="24"/>
          <w:szCs w:val="24"/>
        </w:rPr>
        <w:t xml:space="preserve"> (1999), Niemcy – </w:t>
      </w:r>
      <w:proofErr w:type="spellStart"/>
      <w:r>
        <w:rPr>
          <w:rFonts w:ascii="PT Sans Caption" w:eastAsia="PT Sans Caption" w:hAnsi="PT Sans Caption" w:cs="PT Sans Caption"/>
          <w:sz w:val="24"/>
          <w:szCs w:val="24"/>
        </w:rPr>
        <w:t>eingetragene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Lebenspartnerschaft</w:t>
      </w:r>
      <w:proofErr w:type="spellEnd"/>
      <w:r>
        <w:rPr>
          <w:rFonts w:ascii="PT Sans Caption" w:eastAsia="PT Sans Caption" w:hAnsi="PT Sans Caption" w:cs="PT Sans Caption"/>
          <w:sz w:val="24"/>
          <w:szCs w:val="24"/>
        </w:rPr>
        <w:t xml:space="preserve">, Finlandia – </w:t>
      </w:r>
      <w:proofErr w:type="spellStart"/>
      <w:r>
        <w:rPr>
          <w:rFonts w:ascii="PT Sans Caption" w:eastAsia="PT Sans Caption" w:hAnsi="PT Sans Caption" w:cs="PT Sans Caption"/>
          <w:sz w:val="24"/>
          <w:szCs w:val="24"/>
        </w:rPr>
        <w:t>rekisteröity</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parisuhde</w:t>
      </w:r>
      <w:proofErr w:type="spellEnd"/>
      <w:r>
        <w:rPr>
          <w:rFonts w:ascii="PT Sans Caption" w:eastAsia="PT Sans Caption" w:hAnsi="PT Sans Caption" w:cs="PT Sans Caption"/>
          <w:sz w:val="24"/>
          <w:szCs w:val="24"/>
        </w:rPr>
        <w:t xml:space="preserve"> (2001), Quebec (Kanada) – </w:t>
      </w:r>
      <w:proofErr w:type="spellStart"/>
      <w:r>
        <w:rPr>
          <w:rFonts w:ascii="PT Sans Caption" w:eastAsia="PT Sans Caption" w:hAnsi="PT Sans Caption" w:cs="PT Sans Caption"/>
          <w:sz w:val="24"/>
          <w:szCs w:val="24"/>
        </w:rPr>
        <w:t>union</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civile</w:t>
      </w:r>
      <w:proofErr w:type="spellEnd"/>
      <w:r>
        <w:rPr>
          <w:rFonts w:ascii="PT Sans Caption" w:eastAsia="PT Sans Caption" w:hAnsi="PT Sans Caption" w:cs="PT Sans Caption"/>
          <w:sz w:val="24"/>
          <w:szCs w:val="24"/>
        </w:rPr>
        <w:t xml:space="preserve"> (2002), Tasmania (Australia) – </w:t>
      </w:r>
      <w:proofErr w:type="spellStart"/>
      <w:r>
        <w:rPr>
          <w:rFonts w:ascii="PT Sans Caption" w:eastAsia="PT Sans Caption" w:hAnsi="PT Sans Caption" w:cs="PT Sans Caption"/>
          <w:sz w:val="24"/>
          <w:szCs w:val="24"/>
        </w:rPr>
        <w:t>significant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relationship</w:t>
      </w:r>
      <w:proofErr w:type="spellEnd"/>
      <w:r>
        <w:rPr>
          <w:rFonts w:ascii="PT Sans Caption" w:eastAsia="PT Sans Caption" w:hAnsi="PT Sans Caption" w:cs="PT Sans Caption"/>
          <w:sz w:val="24"/>
          <w:szCs w:val="24"/>
        </w:rPr>
        <w:t xml:space="preserve"> (2003), Luksemburg –</w:t>
      </w:r>
      <w:proofErr w:type="spellStart"/>
      <w:r>
        <w:rPr>
          <w:rFonts w:ascii="PT Sans Caption" w:eastAsia="PT Sans Caption" w:hAnsi="PT Sans Caption" w:cs="PT Sans Caption"/>
          <w:sz w:val="24"/>
          <w:szCs w:val="24"/>
        </w:rPr>
        <w:t>partenariat</w:t>
      </w:r>
      <w:proofErr w:type="spellEnd"/>
      <w:r>
        <w:rPr>
          <w:rFonts w:ascii="PT Sans Caption" w:eastAsia="PT Sans Caption" w:hAnsi="PT Sans Caption" w:cs="PT Sans Caption"/>
          <w:sz w:val="24"/>
          <w:szCs w:val="24"/>
        </w:rPr>
        <w:t xml:space="preserve">, Wielka Brytania –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partnership</w:t>
      </w:r>
      <w:proofErr w:type="spellEnd"/>
      <w:r>
        <w:rPr>
          <w:rFonts w:ascii="PT Sans Caption" w:eastAsia="PT Sans Caption" w:hAnsi="PT Sans Caption" w:cs="PT Sans Caption"/>
          <w:sz w:val="24"/>
          <w:szCs w:val="24"/>
        </w:rPr>
        <w:t xml:space="preserve">, Nowa Zelandia –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union</w:t>
      </w:r>
      <w:proofErr w:type="spellEnd"/>
      <w:r>
        <w:rPr>
          <w:rFonts w:ascii="PT Sans Caption" w:eastAsia="PT Sans Caption" w:hAnsi="PT Sans Caption" w:cs="PT Sans Caption"/>
          <w:sz w:val="24"/>
          <w:szCs w:val="24"/>
        </w:rPr>
        <w:t xml:space="preserve"> (2004), Andora – </w:t>
      </w:r>
      <w:proofErr w:type="spellStart"/>
      <w:r>
        <w:rPr>
          <w:rFonts w:ascii="PT Sans Caption" w:eastAsia="PT Sans Caption" w:hAnsi="PT Sans Caption" w:cs="PT Sans Caption"/>
          <w:sz w:val="24"/>
          <w:szCs w:val="24"/>
        </w:rPr>
        <w:t>unió</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estable</w:t>
      </w:r>
      <w:proofErr w:type="spellEnd"/>
      <w:r>
        <w:rPr>
          <w:rFonts w:ascii="PT Sans Caption" w:eastAsia="PT Sans Caption" w:hAnsi="PT Sans Caption" w:cs="PT Sans Caption"/>
          <w:sz w:val="24"/>
          <w:szCs w:val="24"/>
        </w:rPr>
        <w:t xml:space="preserve"> de </w:t>
      </w:r>
      <w:proofErr w:type="spellStart"/>
      <w:r>
        <w:rPr>
          <w:rFonts w:ascii="PT Sans Caption" w:eastAsia="PT Sans Caption" w:hAnsi="PT Sans Caption" w:cs="PT Sans Caption"/>
          <w:sz w:val="24"/>
          <w:szCs w:val="24"/>
        </w:rPr>
        <w:t>parella</w:t>
      </w:r>
      <w:proofErr w:type="spellEnd"/>
      <w:r>
        <w:rPr>
          <w:rFonts w:ascii="PT Sans Caption" w:eastAsia="PT Sans Caption" w:hAnsi="PT Sans Caption" w:cs="PT Sans Caption"/>
          <w:sz w:val="24"/>
          <w:szCs w:val="24"/>
        </w:rPr>
        <w:t xml:space="preserve">, Szwajcaria – fr. </w:t>
      </w:r>
      <w:proofErr w:type="spellStart"/>
      <w:r>
        <w:rPr>
          <w:rFonts w:ascii="PT Sans Caption" w:eastAsia="PT Sans Caption" w:hAnsi="PT Sans Caption" w:cs="PT Sans Caption"/>
          <w:sz w:val="24"/>
          <w:szCs w:val="24"/>
        </w:rPr>
        <w:t>partenariat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enregistré</w:t>
      </w:r>
      <w:proofErr w:type="spellEnd"/>
      <w:r>
        <w:rPr>
          <w:rFonts w:ascii="PT Sans Caption" w:eastAsia="PT Sans Caption" w:hAnsi="PT Sans Caption" w:cs="PT Sans Caption"/>
          <w:sz w:val="24"/>
          <w:szCs w:val="24"/>
        </w:rPr>
        <w:t xml:space="preserve">, niem. </w:t>
      </w:r>
      <w:proofErr w:type="spellStart"/>
      <w:r>
        <w:rPr>
          <w:rFonts w:ascii="PT Sans Caption" w:eastAsia="PT Sans Caption" w:hAnsi="PT Sans Caption" w:cs="PT Sans Caption"/>
          <w:sz w:val="24"/>
          <w:szCs w:val="24"/>
        </w:rPr>
        <w:t>eingetragene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Partnerschaft</w:t>
      </w:r>
      <w:proofErr w:type="spellEnd"/>
      <w:r>
        <w:rPr>
          <w:rFonts w:ascii="PT Sans Caption" w:eastAsia="PT Sans Caption" w:hAnsi="PT Sans Caption" w:cs="PT Sans Caption"/>
          <w:sz w:val="24"/>
          <w:szCs w:val="24"/>
        </w:rPr>
        <w:t xml:space="preserve">, wł. </w:t>
      </w:r>
      <w:proofErr w:type="spellStart"/>
      <w:r>
        <w:rPr>
          <w:rFonts w:ascii="PT Sans Caption" w:eastAsia="PT Sans Caption" w:hAnsi="PT Sans Caption" w:cs="PT Sans Caption"/>
          <w:sz w:val="24"/>
          <w:szCs w:val="24"/>
        </w:rPr>
        <w:t>unione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domestica</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registrata</w:t>
      </w:r>
      <w:proofErr w:type="spellEnd"/>
      <w:r>
        <w:rPr>
          <w:rFonts w:ascii="PT Sans Caption" w:eastAsia="PT Sans Caption" w:hAnsi="PT Sans Caption" w:cs="PT Sans Caption"/>
          <w:sz w:val="24"/>
          <w:szCs w:val="24"/>
        </w:rPr>
        <w:t xml:space="preserve">, Słowenia – </w:t>
      </w:r>
      <w:proofErr w:type="spellStart"/>
      <w:r>
        <w:rPr>
          <w:rFonts w:ascii="PT Sans Caption" w:eastAsia="PT Sans Caption" w:hAnsi="PT Sans Caption" w:cs="PT Sans Caption"/>
          <w:sz w:val="24"/>
          <w:szCs w:val="24"/>
        </w:rPr>
        <w:t>registrirana</w:t>
      </w:r>
      <w:proofErr w:type="spellEnd"/>
      <w:r>
        <w:rPr>
          <w:rFonts w:ascii="PT Sans Caption" w:eastAsia="PT Sans Caption" w:hAnsi="PT Sans Caption" w:cs="PT Sans Caption"/>
          <w:sz w:val="24"/>
          <w:szCs w:val="24"/>
        </w:rPr>
        <w:t xml:space="preserve"> partnerska </w:t>
      </w:r>
      <w:proofErr w:type="spellStart"/>
      <w:r>
        <w:rPr>
          <w:rFonts w:ascii="PT Sans Caption" w:eastAsia="PT Sans Caption" w:hAnsi="PT Sans Caption" w:cs="PT Sans Caption"/>
          <w:sz w:val="24"/>
          <w:szCs w:val="24"/>
        </w:rPr>
        <w:t>skupnost</w:t>
      </w:r>
      <w:proofErr w:type="spellEnd"/>
      <w:r>
        <w:rPr>
          <w:rFonts w:ascii="PT Sans Caption" w:eastAsia="PT Sans Caption" w:hAnsi="PT Sans Caption" w:cs="PT Sans Caption"/>
          <w:sz w:val="24"/>
          <w:szCs w:val="24"/>
        </w:rPr>
        <w:t xml:space="preserve"> (2005), Republika Czeska – </w:t>
      </w:r>
      <w:proofErr w:type="spellStart"/>
      <w:r>
        <w:rPr>
          <w:rFonts w:ascii="PT Sans Caption" w:eastAsia="PT Sans Caption" w:hAnsi="PT Sans Caption" w:cs="PT Sans Caption"/>
          <w:sz w:val="24"/>
          <w:szCs w:val="24"/>
        </w:rPr>
        <w:t>registrované</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partnerství</w:t>
      </w:r>
      <w:proofErr w:type="spellEnd"/>
      <w:r>
        <w:rPr>
          <w:rFonts w:ascii="PT Sans Caption" w:eastAsia="PT Sans Caption" w:hAnsi="PT Sans Caption" w:cs="PT Sans Caption"/>
          <w:sz w:val="24"/>
          <w:szCs w:val="24"/>
        </w:rPr>
        <w:t xml:space="preserve"> (2006), Ekwador – </w:t>
      </w:r>
      <w:proofErr w:type="spellStart"/>
      <w:r>
        <w:rPr>
          <w:rFonts w:ascii="PT Sans Caption" w:eastAsia="PT Sans Caption" w:hAnsi="PT Sans Caption" w:cs="PT Sans Caption"/>
          <w:sz w:val="24"/>
          <w:szCs w:val="24"/>
        </w:rPr>
        <w:t>unión</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estable</w:t>
      </w:r>
      <w:proofErr w:type="spellEnd"/>
      <w:r>
        <w:rPr>
          <w:rFonts w:ascii="PT Sans Caption" w:eastAsia="PT Sans Caption" w:hAnsi="PT Sans Caption" w:cs="PT Sans Caption"/>
          <w:sz w:val="24"/>
          <w:szCs w:val="24"/>
        </w:rPr>
        <w:t xml:space="preserve">, Grecja – </w:t>
      </w:r>
      <w:proofErr w:type="spellStart"/>
      <w:r>
        <w:rPr>
          <w:rFonts w:ascii="PT Sans Caption" w:eastAsia="PT Sans Caption" w:hAnsi="PT Sans Caption" w:cs="PT Sans Caption"/>
          <w:sz w:val="24"/>
          <w:szCs w:val="24"/>
        </w:rPr>
        <w:t>σύμφωνο</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συμ</w:t>
      </w:r>
      <w:proofErr w:type="spellEnd"/>
      <w:r>
        <w:rPr>
          <w:rFonts w:ascii="PT Sans Caption" w:eastAsia="PT Sans Caption" w:hAnsi="PT Sans Caption" w:cs="PT Sans Caption"/>
          <w:sz w:val="24"/>
          <w:szCs w:val="24"/>
        </w:rPr>
        <w:t xml:space="preserve">βίωσης (2008), Węgry – </w:t>
      </w:r>
      <w:proofErr w:type="spellStart"/>
      <w:r>
        <w:rPr>
          <w:rFonts w:ascii="PT Sans Caption" w:eastAsia="PT Sans Caption" w:hAnsi="PT Sans Caption" w:cs="PT Sans Caption"/>
          <w:sz w:val="24"/>
          <w:szCs w:val="24"/>
        </w:rPr>
        <w:t>bejegyzett</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élettársi</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kapcsolat</w:t>
      </w:r>
      <w:proofErr w:type="spellEnd"/>
      <w:r>
        <w:rPr>
          <w:rFonts w:ascii="PT Sans Caption" w:eastAsia="PT Sans Caption" w:hAnsi="PT Sans Caption" w:cs="PT Sans Caption"/>
          <w:sz w:val="24"/>
          <w:szCs w:val="24"/>
        </w:rPr>
        <w:t xml:space="preserve">, Austria – </w:t>
      </w:r>
      <w:proofErr w:type="spellStart"/>
      <w:r>
        <w:rPr>
          <w:rFonts w:ascii="PT Sans Caption" w:eastAsia="PT Sans Caption" w:hAnsi="PT Sans Caption" w:cs="PT Sans Caption"/>
          <w:sz w:val="24"/>
          <w:szCs w:val="24"/>
        </w:rPr>
        <w:t>eingetragene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Partnerschaft</w:t>
      </w:r>
      <w:proofErr w:type="spellEnd"/>
      <w:r>
        <w:rPr>
          <w:rFonts w:ascii="PT Sans Caption" w:eastAsia="PT Sans Caption" w:hAnsi="PT Sans Caption" w:cs="PT Sans Caption"/>
          <w:sz w:val="24"/>
          <w:szCs w:val="24"/>
        </w:rPr>
        <w:t xml:space="preserve"> (2009), Irlandia –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partnership</w:t>
      </w:r>
      <w:proofErr w:type="spellEnd"/>
      <w:r>
        <w:rPr>
          <w:rFonts w:ascii="PT Sans Caption" w:eastAsia="PT Sans Caption" w:hAnsi="PT Sans Caption" w:cs="PT Sans Caption"/>
          <w:sz w:val="24"/>
          <w:szCs w:val="24"/>
        </w:rPr>
        <w:t xml:space="preserve"> (2010), Liechtenstein – </w:t>
      </w:r>
      <w:proofErr w:type="spellStart"/>
      <w:r>
        <w:rPr>
          <w:rFonts w:ascii="PT Sans Caption" w:eastAsia="PT Sans Caption" w:hAnsi="PT Sans Caption" w:cs="PT Sans Caption"/>
          <w:sz w:val="24"/>
          <w:szCs w:val="24"/>
        </w:rPr>
        <w:t>eingetragene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Partnerschaft</w:t>
      </w:r>
      <w:proofErr w:type="spellEnd"/>
      <w:r>
        <w:rPr>
          <w:rFonts w:ascii="PT Sans Caption" w:eastAsia="PT Sans Caption" w:hAnsi="PT Sans Caption" w:cs="PT Sans Caption"/>
          <w:sz w:val="24"/>
          <w:szCs w:val="24"/>
        </w:rPr>
        <w:t xml:space="preserve"> (2011), Malta – </w:t>
      </w:r>
      <w:proofErr w:type="spellStart"/>
      <w:r>
        <w:rPr>
          <w:rFonts w:ascii="PT Sans Caption" w:eastAsia="PT Sans Caption" w:hAnsi="PT Sans Caption" w:cs="PT Sans Caption"/>
          <w:sz w:val="24"/>
          <w:szCs w:val="24"/>
        </w:rPr>
        <w:t>unjoni</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ċivili</w:t>
      </w:r>
      <w:proofErr w:type="spellEnd"/>
      <w:r>
        <w:rPr>
          <w:rFonts w:ascii="PT Sans Caption" w:eastAsia="PT Sans Caption" w:hAnsi="PT Sans Caption" w:cs="PT Sans Caption"/>
          <w:sz w:val="24"/>
          <w:szCs w:val="24"/>
        </w:rPr>
        <w:t xml:space="preserve">, Chorwacja – </w:t>
      </w:r>
      <w:proofErr w:type="spellStart"/>
      <w:r>
        <w:rPr>
          <w:rFonts w:ascii="PT Sans Caption" w:eastAsia="PT Sans Caption" w:hAnsi="PT Sans Caption" w:cs="PT Sans Caption"/>
          <w:sz w:val="24"/>
          <w:szCs w:val="24"/>
        </w:rPr>
        <w:t>životno</w:t>
      </w:r>
      <w:proofErr w:type="spellEnd"/>
      <w:r>
        <w:rPr>
          <w:rFonts w:ascii="PT Sans Caption" w:eastAsia="PT Sans Caption" w:hAnsi="PT Sans Caption" w:cs="PT Sans Caption"/>
          <w:sz w:val="24"/>
          <w:szCs w:val="24"/>
        </w:rPr>
        <w:t xml:space="preserve"> partnerstwo, Estonia – </w:t>
      </w:r>
      <w:proofErr w:type="spellStart"/>
      <w:r>
        <w:rPr>
          <w:rFonts w:ascii="PT Sans Caption" w:eastAsia="PT Sans Caption" w:hAnsi="PT Sans Caption" w:cs="PT Sans Caption"/>
          <w:sz w:val="24"/>
          <w:szCs w:val="24"/>
        </w:rPr>
        <w:t>kooselulepingu</w:t>
      </w:r>
      <w:proofErr w:type="spellEnd"/>
      <w:r>
        <w:rPr>
          <w:rFonts w:ascii="PT Sans Caption" w:eastAsia="PT Sans Caption" w:hAnsi="PT Sans Caption" w:cs="PT Sans Caption"/>
          <w:sz w:val="24"/>
          <w:szCs w:val="24"/>
        </w:rPr>
        <w:t>, Cypr – π</w:t>
      </w:r>
      <w:proofErr w:type="spellStart"/>
      <w:r>
        <w:rPr>
          <w:rFonts w:ascii="PT Sans Caption" w:eastAsia="PT Sans Caption" w:hAnsi="PT Sans Caption" w:cs="PT Sans Caption"/>
          <w:sz w:val="24"/>
          <w:szCs w:val="24"/>
        </w:rPr>
        <w:t>ολιτική</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συμ</w:t>
      </w:r>
      <w:proofErr w:type="spellEnd"/>
      <w:r>
        <w:rPr>
          <w:rFonts w:ascii="PT Sans Caption" w:eastAsia="PT Sans Caption" w:hAnsi="PT Sans Caption" w:cs="PT Sans Caption"/>
          <w:sz w:val="24"/>
          <w:szCs w:val="24"/>
        </w:rPr>
        <w:t xml:space="preserve">βίωση, Chile – </w:t>
      </w:r>
      <w:proofErr w:type="spellStart"/>
      <w:r>
        <w:rPr>
          <w:rFonts w:ascii="PT Sans Caption" w:eastAsia="PT Sans Caption" w:hAnsi="PT Sans Caption" w:cs="PT Sans Caption"/>
          <w:sz w:val="24"/>
          <w:szCs w:val="24"/>
        </w:rPr>
        <w:t>unión</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(2015), Republika Włoska – </w:t>
      </w:r>
      <w:proofErr w:type="spellStart"/>
      <w:r>
        <w:rPr>
          <w:rFonts w:ascii="PT Sans Caption" w:eastAsia="PT Sans Caption" w:hAnsi="PT Sans Caption" w:cs="PT Sans Caption"/>
          <w:sz w:val="24"/>
          <w:szCs w:val="24"/>
        </w:rPr>
        <w:t>unione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civilei</w:t>
      </w:r>
      <w:proofErr w:type="spellEnd"/>
      <w:r>
        <w:rPr>
          <w:rFonts w:ascii="PT Sans Caption" w:eastAsia="PT Sans Caption" w:hAnsi="PT Sans Caption" w:cs="PT Sans Caption"/>
          <w:sz w:val="24"/>
          <w:szCs w:val="24"/>
        </w:rPr>
        <w:t xml:space="preserve"> (2016); San Marino – </w:t>
      </w:r>
      <w:proofErr w:type="spellStart"/>
      <w:r>
        <w:rPr>
          <w:rFonts w:ascii="PT Sans Caption" w:eastAsia="PT Sans Caption" w:hAnsi="PT Sans Caption" w:cs="PT Sans Caption"/>
          <w:sz w:val="24"/>
          <w:szCs w:val="24"/>
        </w:rPr>
        <w:t>unione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civile</w:t>
      </w:r>
      <w:proofErr w:type="spellEnd"/>
      <w:r>
        <w:rPr>
          <w:rFonts w:ascii="PT Sans Caption" w:eastAsia="PT Sans Caption" w:hAnsi="PT Sans Caption" w:cs="PT Sans Caption"/>
          <w:sz w:val="24"/>
          <w:szCs w:val="24"/>
        </w:rPr>
        <w:t xml:space="preserve"> (2018), Monako – </w:t>
      </w:r>
      <w:proofErr w:type="spellStart"/>
      <w:r>
        <w:rPr>
          <w:rFonts w:ascii="PT Sans Caption" w:eastAsia="PT Sans Caption" w:hAnsi="PT Sans Caption" w:cs="PT Sans Caption"/>
          <w:sz w:val="24"/>
          <w:szCs w:val="24"/>
        </w:rPr>
        <w:t>contrat</w:t>
      </w:r>
      <w:proofErr w:type="spellEnd"/>
      <w:r>
        <w:rPr>
          <w:rFonts w:ascii="PT Sans Caption" w:eastAsia="PT Sans Caption" w:hAnsi="PT Sans Caption" w:cs="PT Sans Caption"/>
          <w:sz w:val="24"/>
          <w:szCs w:val="24"/>
        </w:rPr>
        <w:t xml:space="preserve"> de </w:t>
      </w:r>
      <w:proofErr w:type="spellStart"/>
      <w:r>
        <w:rPr>
          <w:rFonts w:ascii="PT Sans Caption" w:eastAsia="PT Sans Caption" w:hAnsi="PT Sans Caption" w:cs="PT Sans Caption"/>
          <w:sz w:val="24"/>
          <w:szCs w:val="24"/>
        </w:rPr>
        <w:t>vie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commune</w:t>
      </w:r>
      <w:proofErr w:type="spellEnd"/>
      <w:r>
        <w:rPr>
          <w:rFonts w:ascii="PT Sans Caption" w:eastAsia="PT Sans Caption" w:hAnsi="PT Sans Caption" w:cs="PT Sans Caption"/>
          <w:sz w:val="24"/>
          <w:szCs w:val="24"/>
        </w:rPr>
        <w:t xml:space="preserve"> (2019), Czarnogóra - </w:t>
      </w:r>
      <w:proofErr w:type="spellStart"/>
      <w:r>
        <w:rPr>
          <w:rFonts w:ascii="PT Sans Caption" w:eastAsia="PT Sans Caption" w:hAnsi="PT Sans Caption" w:cs="PT Sans Caption"/>
          <w:sz w:val="24"/>
          <w:szCs w:val="24"/>
        </w:rPr>
        <w:t>životno</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partnerstvo</w:t>
      </w:r>
      <w:proofErr w:type="spellEnd"/>
      <w:r>
        <w:rPr>
          <w:rFonts w:ascii="PT Sans Caption" w:eastAsia="PT Sans Caption" w:hAnsi="PT Sans Caption" w:cs="PT Sans Caption"/>
          <w:sz w:val="24"/>
          <w:szCs w:val="24"/>
        </w:rPr>
        <w:t xml:space="preserve"> (2020), Łotwa - </w:t>
      </w:r>
      <w:proofErr w:type="spellStart"/>
      <w:r>
        <w:rPr>
          <w:rFonts w:ascii="PT Sans Caption" w:eastAsia="PT Sans Caption" w:hAnsi="PT Sans Caption" w:cs="PT Sans Caption"/>
          <w:sz w:val="24"/>
          <w:szCs w:val="24"/>
        </w:rPr>
        <w:t>Civilās</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savienības</w:t>
      </w:r>
      <w:proofErr w:type="spellEnd"/>
      <w:r>
        <w:rPr>
          <w:rFonts w:ascii="PT Sans Caption" w:eastAsia="PT Sans Caption" w:hAnsi="PT Sans Caption" w:cs="PT Sans Caption"/>
          <w:sz w:val="24"/>
          <w:szCs w:val="24"/>
        </w:rPr>
        <w:t xml:space="preserve"> (2024).</w:t>
      </w:r>
    </w:p>
    <w:p w14:paraId="00000025" w14:textId="77777777" w:rsidR="00B42FE5" w:rsidRDefault="00B42FE5">
      <w:pPr>
        <w:jc w:val="both"/>
        <w:rPr>
          <w:rFonts w:ascii="PT Sans Caption" w:eastAsia="PT Sans Caption" w:hAnsi="PT Sans Caption" w:cs="PT Sans Caption"/>
          <w:sz w:val="24"/>
          <w:szCs w:val="24"/>
        </w:rPr>
      </w:pPr>
    </w:p>
    <w:p w14:paraId="00000026"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Występują dwa modele instytucji zarejestrowanego związku partnerskiego. Pierwszy model zakłada, że związek ten jest dostępny wyłącznie dla par osób tej samej płci. Pierwsza taka regulacja została przyjęta już 35 lat temu w Danii. Dnia 7 czerwca 1989 r. duński parlament uchwalił ustawę nr 372 o zarejestrowanym partnerstwie, która weszła w życie 1 października 1989 r. W 2012 r. instytucja ta została zastąpiona otwarciem małżeństwa dla par osób tej samej płci. Podobne rozwiązania przyjęto w innych państwach nordyckich, tj. w Norwegii, Szwecji, Islandii i Finlandii, a także m.in. w Niemczech i Irlandii. Drugi model zakłada, że związek partnerski jest otwarty dla dwóch osób bez względu na ich płeć. Takie rozwiązanie wprowadzono po raz pierwszy w Holandii w 1998 r. Następnie model ten został przyjęty i nadal obowiązuje m.in. we Francji, Belgii, Luksemburgu, Andorze, Grecji, </w:t>
      </w:r>
      <w:r>
        <w:rPr>
          <w:rFonts w:ascii="PT Sans Caption" w:eastAsia="PT Sans Caption" w:hAnsi="PT Sans Caption" w:cs="PT Sans Caption"/>
          <w:sz w:val="24"/>
          <w:szCs w:val="24"/>
        </w:rPr>
        <w:lastRenderedPageBreak/>
        <w:t>Gibraltarze oraz na Malcie. W Wielkiej Brytanii zarejestrowany związek partnerski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partnership</w:t>
      </w:r>
      <w:proofErr w:type="spellEnd"/>
      <w:r>
        <w:rPr>
          <w:rFonts w:ascii="PT Sans Caption" w:eastAsia="PT Sans Caption" w:hAnsi="PT Sans Caption" w:cs="PT Sans Caption"/>
          <w:sz w:val="24"/>
          <w:szCs w:val="24"/>
        </w:rPr>
        <w:t xml:space="preserve">) początkowo dostępny był wyłącznie dla par osób tej samej płci. Brytyjski Sąd Najwyższy w wyroku z 27 czerwca 2018 r. wydanym w sprawie </w:t>
      </w:r>
      <w:proofErr w:type="spellStart"/>
      <w:r>
        <w:rPr>
          <w:rFonts w:ascii="PT Sans Caption" w:eastAsia="PT Sans Caption" w:hAnsi="PT Sans Caption" w:cs="PT Sans Caption"/>
          <w:sz w:val="24"/>
          <w:szCs w:val="24"/>
        </w:rPr>
        <w:t>Steinfeld</w:t>
      </w:r>
      <w:proofErr w:type="spellEnd"/>
      <w:r>
        <w:rPr>
          <w:rFonts w:ascii="PT Sans Caption" w:eastAsia="PT Sans Caption" w:hAnsi="PT Sans Caption" w:cs="PT Sans Caption"/>
          <w:sz w:val="24"/>
          <w:szCs w:val="24"/>
        </w:rPr>
        <w:t xml:space="preserve"> i </w:t>
      </w:r>
      <w:proofErr w:type="spellStart"/>
      <w:r>
        <w:rPr>
          <w:rFonts w:ascii="PT Sans Caption" w:eastAsia="PT Sans Caption" w:hAnsi="PT Sans Caption" w:cs="PT Sans Caption"/>
          <w:sz w:val="24"/>
          <w:szCs w:val="24"/>
        </w:rPr>
        <w:t>Keidan</w:t>
      </w:r>
      <w:proofErr w:type="spellEnd"/>
      <w:r>
        <w:rPr>
          <w:rFonts w:ascii="PT Sans Caption" w:eastAsia="PT Sans Caption" w:hAnsi="PT Sans Caption" w:cs="PT Sans Caption"/>
          <w:sz w:val="24"/>
          <w:szCs w:val="24"/>
        </w:rPr>
        <w:t xml:space="preserve"> orzekł, że takie rozwiązanie stanowi dyskryminację par osób różnej płci i narusza Europejską Konwencję Praw Człowieka. W konsekwencji pary osób różnej płci uzyskały dostęp do tego związku.</w:t>
      </w:r>
    </w:p>
    <w:p w14:paraId="00000027" w14:textId="77777777" w:rsidR="00B42FE5" w:rsidRDefault="00B42FE5">
      <w:pPr>
        <w:jc w:val="both"/>
        <w:rPr>
          <w:rFonts w:ascii="PT Sans Caption" w:eastAsia="PT Sans Caption" w:hAnsi="PT Sans Caption" w:cs="PT Sans Caption"/>
          <w:sz w:val="24"/>
          <w:szCs w:val="24"/>
        </w:rPr>
      </w:pPr>
    </w:p>
    <w:p w14:paraId="00000028"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Odnosząc się do konkretnych rozwiązań w poszczególnych krajach i ich wpływu na sytuację społeczną, rodzinną i demograficzną, warto zwrócić uwagę na różnorodność rozwiązań, a także fakt, że w wielu krajach związki partnerskie zostały potem zastąpione równością małżeńską. </w:t>
      </w:r>
    </w:p>
    <w:p w14:paraId="00000029" w14:textId="77777777" w:rsidR="00B42FE5" w:rsidRDefault="00B42FE5">
      <w:pPr>
        <w:jc w:val="both"/>
        <w:rPr>
          <w:rFonts w:ascii="PT Sans Caption" w:eastAsia="PT Sans Caption" w:hAnsi="PT Sans Caption" w:cs="PT Sans Caption"/>
          <w:sz w:val="24"/>
          <w:szCs w:val="24"/>
        </w:rPr>
      </w:pPr>
    </w:p>
    <w:p w14:paraId="0000002A"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Na przykładzie wspomnianej już Wielkiej Brytanii, ustawa z 2004 r., która w Anglii i Walii weszła w życie w grudniu 2005 r., stworzyła nową instytucję związku partnerskiego, która dała parom tej samej płci możliwość uzyskania prawnego uznania ich związku. Instytucja dostępna jest dla osób powyżej 16 roku życia, z których żadna nie jest w innym związku małżeńskim albo związku partnerskim i nie ma pokrewieństwa. Rejestracja związku partnerskiego następuje w biurze USC, z możliwością cywilnej lub religijnej ceremonii (przy dwóch świadkach). Związek partnerski daje partnerom pakiet praw i obowiązków, w tym podatkowych i innych świadczeń oraz m.in. możliwość ubiegania się o władzę rodzicielską nad dzieckiem partnera. Od 2014 r. pary jednopłciowe mogą wstępować w małżeństwa.</w:t>
      </w:r>
    </w:p>
    <w:p w14:paraId="0000002B" w14:textId="77777777" w:rsidR="00B42FE5" w:rsidRDefault="00B42FE5">
      <w:pPr>
        <w:jc w:val="both"/>
        <w:rPr>
          <w:rFonts w:ascii="PT Sans Caption" w:eastAsia="PT Sans Caption" w:hAnsi="PT Sans Caption" w:cs="PT Sans Caption"/>
          <w:sz w:val="24"/>
          <w:szCs w:val="24"/>
        </w:rPr>
      </w:pPr>
    </w:p>
    <w:p w14:paraId="0000002C"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We Francji natomiast w 1999 r. wprowadzono PACS, czyli </w:t>
      </w:r>
      <w:proofErr w:type="spellStart"/>
      <w:r>
        <w:rPr>
          <w:rFonts w:ascii="PT Sans Caption" w:eastAsia="PT Sans Caption" w:hAnsi="PT Sans Caption" w:cs="PT Sans Caption"/>
          <w:sz w:val="24"/>
          <w:szCs w:val="24"/>
        </w:rPr>
        <w:t>Pacte</w:t>
      </w:r>
      <w:proofErr w:type="spellEnd"/>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civil</w:t>
      </w:r>
      <w:proofErr w:type="spellEnd"/>
      <w:r>
        <w:rPr>
          <w:rFonts w:ascii="PT Sans Caption" w:eastAsia="PT Sans Caption" w:hAnsi="PT Sans Caption" w:cs="PT Sans Caption"/>
          <w:sz w:val="24"/>
          <w:szCs w:val="24"/>
        </w:rPr>
        <w:t xml:space="preserve"> de </w:t>
      </w:r>
      <w:proofErr w:type="spellStart"/>
      <w:r>
        <w:rPr>
          <w:rFonts w:ascii="PT Sans Caption" w:eastAsia="PT Sans Caption" w:hAnsi="PT Sans Caption" w:cs="PT Sans Caption"/>
          <w:sz w:val="24"/>
          <w:szCs w:val="24"/>
        </w:rPr>
        <w:t>solidarité</w:t>
      </w:r>
      <w:proofErr w:type="spellEnd"/>
      <w:r>
        <w:rPr>
          <w:rFonts w:ascii="PT Sans Caption" w:eastAsia="PT Sans Caption" w:hAnsi="PT Sans Caption" w:cs="PT Sans Caption"/>
          <w:sz w:val="24"/>
          <w:szCs w:val="24"/>
        </w:rPr>
        <w:t xml:space="preserve"> (Cywilna umowa solidarności) - rejestrowany związek partnerski między dwoma osobami bez względu na ich płeć. PACS daje możliwość uregulowania kwestii majątkowych, dziedziczenia czy wzajemnej opieki. Pozostawiają rozdzielność majątkową i nie dają możliwości adopcji dzieci. Od 2013 r. pary jednopłciowe mają we Francji możliwość zawarcia małżeństwa. </w:t>
      </w:r>
    </w:p>
    <w:p w14:paraId="0000002D" w14:textId="77777777" w:rsidR="00B42FE5" w:rsidRDefault="00B42FE5">
      <w:pPr>
        <w:jc w:val="both"/>
        <w:rPr>
          <w:rFonts w:ascii="PT Sans Caption" w:eastAsia="PT Sans Caption" w:hAnsi="PT Sans Caption" w:cs="PT Sans Caption"/>
          <w:sz w:val="24"/>
          <w:szCs w:val="24"/>
        </w:rPr>
      </w:pPr>
    </w:p>
    <w:p w14:paraId="0000002E" w14:textId="77777777" w:rsidR="00B42FE5" w:rsidRDefault="00441497">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GŁÓWNE ZAŁOŻENIA PROJEKTU USTAWY</w:t>
      </w:r>
    </w:p>
    <w:p w14:paraId="0000002F" w14:textId="77777777" w:rsidR="00B42FE5" w:rsidRDefault="00B42FE5">
      <w:pPr>
        <w:jc w:val="both"/>
        <w:rPr>
          <w:rFonts w:ascii="PT Sans Caption" w:eastAsia="PT Sans Caption" w:hAnsi="PT Sans Caption" w:cs="PT Sans Caption"/>
          <w:sz w:val="24"/>
          <w:szCs w:val="24"/>
        </w:rPr>
      </w:pPr>
    </w:p>
    <w:p w14:paraId="00000030"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Projekt ustawy o rejestrowanych związkach partnerskich zawiera uregulowania dotyczące sposobu zawierania i ustania rejestrowanego związku partnerskiego, praw i obowiązków osób w rejestrowanych związkach </w:t>
      </w:r>
      <w:r>
        <w:rPr>
          <w:rFonts w:ascii="PT Sans Caption" w:eastAsia="PT Sans Caption" w:hAnsi="PT Sans Caption" w:cs="PT Sans Caption"/>
          <w:sz w:val="24"/>
          <w:szCs w:val="24"/>
        </w:rPr>
        <w:lastRenderedPageBreak/>
        <w:t>partnerskich, uczestnictwa w sprawowaniu pieczy nad dzieckiem i stosunków majątkowych.</w:t>
      </w:r>
    </w:p>
    <w:p w14:paraId="00000031" w14:textId="77777777" w:rsidR="00B42FE5" w:rsidRDefault="00B42FE5">
      <w:pPr>
        <w:jc w:val="both"/>
        <w:rPr>
          <w:rFonts w:ascii="PT Sans Caption" w:eastAsia="PT Sans Caption" w:hAnsi="PT Sans Caption" w:cs="PT Sans Caption"/>
          <w:sz w:val="24"/>
          <w:szCs w:val="24"/>
        </w:rPr>
      </w:pPr>
    </w:p>
    <w:p w14:paraId="00000032"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ustawy zakłada, że rejestrowany związek partnerski opiera się na wzajemnym szacunku, wsparciu i lojalności oraz równych prawach i obowiązkach osób w związku partnerskim. Osoby w rejestrowanym związku partnerskim są obowiązane współdziałać na rzecz wspólnego dobra. Są też obowiązane przyczyniać się do zaspokajania swoich uzasadnionych potrzeb według swych sił oraz możliwości zarobkowych i majątkowych.</w:t>
      </w:r>
    </w:p>
    <w:p w14:paraId="00000033" w14:textId="77777777" w:rsidR="00B42FE5" w:rsidRDefault="00B42FE5">
      <w:pPr>
        <w:jc w:val="both"/>
        <w:rPr>
          <w:rFonts w:ascii="PT Sans Caption" w:eastAsia="PT Sans Caption" w:hAnsi="PT Sans Caption" w:cs="PT Sans Caption"/>
          <w:sz w:val="24"/>
          <w:szCs w:val="24"/>
        </w:rPr>
      </w:pPr>
    </w:p>
    <w:p w14:paraId="00000034"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Rejestrowany związek partnerski mogą zawrzeć dwie osoby, które ukończyły 18 rok życia, bez względu na płeć. Rejestrowany związek partnerski ma wpływ na stan cywilny osoby, w związku z tym zapewnienie o braku przeszkód do jego zawarcia składa się przed kierownikiem urzędu stanu cywilnego, kierownik urzędu stanu cywilnego ocenia zdolność do jego zawarcia i dokonuje wpisu do rejestru związków partnerskich. Tylko kierownik urzędu stanu cywilnego, posiadający dostęp do rejestru stanu cywilnego, jest w stanie należycie zadbać o spełnienie przesłanek zawarcia związku. </w:t>
      </w:r>
    </w:p>
    <w:p w14:paraId="00000035"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 </w:t>
      </w:r>
    </w:p>
    <w:p w14:paraId="00000036"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Osoby zamierzające zarejestrować związek partnerski przedstawią kierownikowi urzędu stanu cywilnego dokumenty niezbędne do zarejestrowania związku partnerskiego określone w odrębnych przepisach, w tym zapewnienie, że nie wiedzą o istnieniu okoliczności wyłączających zarejestrowanie związku partnerskiego (m.in. pokrewieństwo w linii prostej i rodzeństwo, pozostawanie w stosunku przysposobienia, brak zdolności do czynności prawnych, pozostawanie w związku partnerskim lub w małżeństwie - z wyjątkiem małżeństwa z tą samą osobą tej samej płci zawartego za granicą). Kierownik urzędu stanu cywilnego, który dowiedział się o istnieniu okoliczności wyłączającej zarejestrowanie związku partnerskiego, odmówi zarejestrowania związku partnerskiego, a w razie wątpliwości zwróci się do sądu o rozstrzygnięcie, czy związek partnerski może być zawarty. </w:t>
      </w:r>
    </w:p>
    <w:p w14:paraId="00000037" w14:textId="77777777" w:rsidR="00B42FE5" w:rsidRDefault="00B42FE5">
      <w:pPr>
        <w:jc w:val="both"/>
        <w:rPr>
          <w:rFonts w:ascii="PT Sans Caption" w:eastAsia="PT Sans Caption" w:hAnsi="PT Sans Caption" w:cs="PT Sans Caption"/>
          <w:sz w:val="24"/>
          <w:szCs w:val="24"/>
        </w:rPr>
      </w:pPr>
    </w:p>
    <w:p w14:paraId="00000038"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Sformułowanie oświadczeń i ich złożenie w obecności kierownika urzędu stanu cywilnego zapewniać będzie bezpieczeństwo prawne osób w związku partnerskim. </w:t>
      </w:r>
    </w:p>
    <w:p w14:paraId="00000039" w14:textId="77777777" w:rsidR="00B42FE5" w:rsidRDefault="00B42FE5">
      <w:pPr>
        <w:jc w:val="both"/>
        <w:rPr>
          <w:rFonts w:ascii="PT Sans Caption" w:eastAsia="PT Sans Caption" w:hAnsi="PT Sans Caption" w:cs="PT Sans Caption"/>
          <w:sz w:val="24"/>
          <w:szCs w:val="24"/>
        </w:rPr>
      </w:pPr>
    </w:p>
    <w:p w14:paraId="0000003A"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W ramach czynności dokonywanych przed zarejestrowaniem związku partnerskiego każda z osób może złożyć oświadczenie o nazwisku, jakie będzie nosiła po zarejestrowaniu związku partnerskiego. Osoby w związku partnerskim mogą nosić wspólne nazwisko będące dotychczasowym nazwiskiem jednej z nich. Każda z nich może również zachować swoje dotychczasowe nazwisko albo połączyć z nim dotychczasowe nazwisko drugiej osoby w związku partnerskim. Nazwisko utworzone w wyniku połączenia nie może składać się z więcej niż dwóch członów. W razie niezłożenia oświadczenia w sprawie nazwiska, każda z osób zachowuje swoje dotychczasowe nazwisko (por. art. 25 ustawy z dnia 25 lutego 1964 r. - Kodeks Rodzinny i Opiekuńczy, Dz. U. z 2023 r., poz. 2809, dalej jako: KRO). Obecnie osoby w związkach nieformalnych zmieniają nazwiska na podstawie ustawy z dnia  z 17 października 2008 r. o zmianie imienia i nazwiska (Dz. U. z 2021 r. poz. 1988). Zgodnie z art. 4 tej ustawy, zmiany nazwiska można dokonać „z ważnych powodów” – decyzję, czy pozostawanie w związku z osobą tej samej płci jest wystarczająco ważnym powodem uzasadniającym zmianę nazwiska, podejmuje kierownik urzędu stanu cywilnego i jest to decyzja uznaniowa. Umożliwienie złożenia oświadczenia o zmianie nazwiska przy rejestrowaniu związku partnerskiego będzie stanowić znacznie odciążenie urzędników stanu cywilnego, którzy obecnie wydają decyzje o zmianie nazwiska w samodzielnej procedurze administracyjnej.</w:t>
      </w:r>
    </w:p>
    <w:p w14:paraId="0000003B" w14:textId="77777777" w:rsidR="00B42FE5" w:rsidRDefault="00B42FE5">
      <w:pPr>
        <w:jc w:val="both"/>
        <w:rPr>
          <w:rFonts w:ascii="PT Sans Caption" w:eastAsia="PT Sans Caption" w:hAnsi="PT Sans Caption" w:cs="PT Sans Caption"/>
          <w:sz w:val="24"/>
          <w:szCs w:val="24"/>
        </w:rPr>
      </w:pPr>
    </w:p>
    <w:p w14:paraId="0000003C" w14:textId="6D69D9B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Polski porządek prawny nie przewiduje na obecnym etapie możliwości zawarcia małżeństwa przez osoby tej samej płci. Z uwagi na fakt, że taka możliwość istnieje w niektórych obcych porządkach prawnych, a także ze względu na wynikający z omówionego wyżej orzecznictwa międzynarodowego obowiązek respektowania praw osób, które zawarły takie małżeństwa za granicą, konieczne wydaje się zaadresowanie tego problemu. Osoby, które zawarły małżeństwa z osobami tej samej płci za granicą, będą miały możliwość złożenia kierownikowi urzędu stanu cywilnego oświadczenia, że małżeństwo zawarte za granicą wywoływać będzie w Polsce takie skutki, jakie pociąga za sobą zawarcie związku partnerskiego. Złożenie takiego oświadczenia jest więc de facto formą zawarcia związku partnerskiego. Kierownik USC sporządzi na tej podstawie polski akt zawarcia związku partnerskiego. Odmienna treść oświadczenia, uwzględniająca istnienie zawartego za granicą małżeństwa, będzie jednak odzwierciedlać szczególną sytuację osób pozostających w takich małżeństwach, nieuznawanych do tej pory przez polski porządek prawny, ale uznawanych w innych porządkach i mających dla zawierających je osób </w:t>
      </w:r>
      <w:r>
        <w:rPr>
          <w:rFonts w:ascii="PT Sans Caption" w:eastAsia="PT Sans Caption" w:hAnsi="PT Sans Caption" w:cs="PT Sans Caption"/>
          <w:sz w:val="24"/>
          <w:szCs w:val="24"/>
        </w:rPr>
        <w:lastRenderedPageBreak/>
        <w:t>istotne znaczenie emocjonalne. Jednocześnie regulacja ta nie dotyczy zawartych za granicą związków partnerskich (osób różnej lub tej samej płci), gdyż kwestia wywoływanych przez nie skutków prawnych uregulowana zostanie w ustawie z dnia 4 lutego 2011 r. Prawo prywatne międzynarodowe (Dz. U. z 2023 r. poz. 503) odpowiednio znowelizowanej ustawą wprowadzającą. Nie dotyczy także zawartych za granicą małżeństw różnopłciowych – osoby pozostające w takim małżeństwie nie będą mogły zawrzeć w Polsce związku partnerskiego, gdyż nie będą go mogły zawrzeć także dwie osoby pozostające w zawartym w Polsce małżeństwie.</w:t>
      </w:r>
    </w:p>
    <w:p w14:paraId="0000003D" w14:textId="77777777" w:rsidR="00B42FE5" w:rsidRDefault="00B42FE5">
      <w:pPr>
        <w:jc w:val="both"/>
        <w:rPr>
          <w:rFonts w:ascii="PT Sans Caption" w:eastAsia="PT Sans Caption" w:hAnsi="PT Sans Caption" w:cs="PT Sans Caption"/>
          <w:sz w:val="24"/>
          <w:szCs w:val="24"/>
        </w:rPr>
      </w:pPr>
    </w:p>
    <w:p w14:paraId="0000003E"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Projektowana regulacja przewiduje możliwość zawarcia związku partnerskiego przed polskim konsulem lub osobą wyznaczoną do wykonywania funkcji konsula. Ten sposób zapewniać będzie dostępność tej instytucji dla obywateli polskich przebywających za granicą.</w:t>
      </w:r>
    </w:p>
    <w:p w14:paraId="0000003F" w14:textId="77777777" w:rsidR="00B42FE5" w:rsidRDefault="00B42FE5">
      <w:pPr>
        <w:jc w:val="both"/>
        <w:rPr>
          <w:rFonts w:ascii="PT Sans Caption" w:eastAsia="PT Sans Caption" w:hAnsi="PT Sans Caption" w:cs="PT Sans Caption"/>
          <w:sz w:val="24"/>
          <w:szCs w:val="24"/>
        </w:rPr>
      </w:pPr>
    </w:p>
    <w:p w14:paraId="00000040"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W przypadku powzięcia informacji o istnieniu okoliczności, która może wyłączać możliwość zawarcia związku partnerskiego, kierownik urzędu stanu cywilnego będzie mógł odmówić przyjęcia oświadczeń, a w razie wątpliwości zwróci się do sądu o rozstrzygnięcie, czy związek może zostać zawarty (por. art. 5 KRO).</w:t>
      </w:r>
    </w:p>
    <w:p w14:paraId="00000041" w14:textId="77777777" w:rsidR="00B42FE5" w:rsidRDefault="00B42FE5">
      <w:pPr>
        <w:jc w:val="both"/>
        <w:rPr>
          <w:rFonts w:ascii="PT Sans Caption" w:eastAsia="PT Sans Caption" w:hAnsi="PT Sans Caption" w:cs="PT Sans Caption"/>
          <w:sz w:val="24"/>
          <w:szCs w:val="24"/>
        </w:rPr>
      </w:pPr>
    </w:p>
    <w:p w14:paraId="00000042"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Nie zakłada się, by zawarcie związku partnerskiego kreowało stosunek powinowactwa. Brak stosunku powinowactwa w związku partnerskim wynika z odmiennego charakteru prawnego tego typu relacji w porównaniu do małżeństwa. Kwestia skutków prawnych relacji powstałej między osobą partnerską a krewnymi drugiej osoby partnerskiej w postępowaniach sądowych i administracyjnych (wyłączenie sędziego, pracownika organu itp.) zostanie uregulowana w ustawie wprowadzającej. </w:t>
      </w:r>
    </w:p>
    <w:p w14:paraId="00000043" w14:textId="77777777" w:rsidR="00B42FE5" w:rsidRDefault="00B42FE5">
      <w:pPr>
        <w:jc w:val="both"/>
        <w:rPr>
          <w:rFonts w:ascii="PT Sans Caption" w:eastAsia="PT Sans Caption" w:hAnsi="PT Sans Caption" w:cs="PT Sans Caption"/>
          <w:sz w:val="24"/>
          <w:szCs w:val="24"/>
        </w:rPr>
      </w:pPr>
    </w:p>
    <w:p w14:paraId="00000044"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zawiera uregulowania dotyczące wspólnego majątku - z chwilą zarejestrowania związku partnerskiego osoby w związku partnerskim łączy ustrój rozdzielności majątkowej. Każda z osób w związku partnerskim zachowuje zarówno majątek nabyty przed zawarciem związku partnerskiego, jak i majątek nabyty później. Każda z osób zarządza samodzielnie swoim majątkiem.</w:t>
      </w:r>
    </w:p>
    <w:p w14:paraId="00000045" w14:textId="77777777" w:rsidR="00B42FE5" w:rsidRDefault="00B42FE5">
      <w:pPr>
        <w:jc w:val="both"/>
        <w:rPr>
          <w:rFonts w:ascii="PT Sans Caption" w:eastAsia="PT Sans Caption" w:hAnsi="PT Sans Caption" w:cs="PT Sans Caption"/>
          <w:sz w:val="24"/>
          <w:szCs w:val="24"/>
        </w:rPr>
      </w:pPr>
    </w:p>
    <w:p w14:paraId="00000046"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Osoby w zarejestrowanym związku partnerskim mogą przez umowę zawartą w formie aktu notarialnego (umowa majątkowa partnerska) ustanowić wspólność majątkową (wspólność partnerską) obejmującą przedmioty </w:t>
      </w:r>
      <w:r>
        <w:rPr>
          <w:rFonts w:ascii="PT Sans Caption" w:eastAsia="PT Sans Caption" w:hAnsi="PT Sans Caption" w:cs="PT Sans Caption"/>
          <w:sz w:val="24"/>
          <w:szCs w:val="24"/>
        </w:rPr>
        <w:lastRenderedPageBreak/>
        <w:t xml:space="preserve">majątkowe określone w tej umowie (wspólny majątek partnerski). Umowa taka może poprzedzać zarejestrowanie związku partnerskiego. Osoba w związku partnerskim może powoływać się względem innych osób na umowę majątkową partnerską, gdy jej zawarcie było tym osobom wiadome. Osoby w zarejestrowanym związku partnerskim mogą przez umowę zawartą w formie aktu notarialnego ustanowić także rozdzielność majątkową z wyrównaniem dorobków. Strony zobowiązują się w niej do zapewniania osobie w związku partnerskim, której dorobek był mniejszy niż dorobek drugiej osoby w związku partnerskim, możliwości żądania po ustaniu związku partnerskiego wyrównania dorobków przez zapłatę lub przeniesienie prawa. </w:t>
      </w:r>
    </w:p>
    <w:p w14:paraId="00000047" w14:textId="77777777" w:rsidR="00B42FE5" w:rsidRDefault="00B42FE5">
      <w:pPr>
        <w:jc w:val="both"/>
        <w:rPr>
          <w:rFonts w:ascii="PT Sans Caption" w:eastAsia="PT Sans Caption" w:hAnsi="PT Sans Caption" w:cs="PT Sans Caption"/>
          <w:sz w:val="24"/>
          <w:szCs w:val="24"/>
        </w:rPr>
      </w:pPr>
    </w:p>
    <w:p w14:paraId="00000048"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Zawarcie małżeństwa przez osoby, które łączy związek partnerski, zostało ujęte jako jedna z przyczyn ustania związku partnerskiego. W konsekwencji od chwili zawarcia małżeństwa nie stosuje się do nich przepisów o związku partnerskim, lecz przepisy o małżeństwie, bez konieczności podejmowania dodatkowych czynności rozwiązania związku partnerskiego. Do osób partnerskich, które zawarły małżeństwo, zastosowanie znajdą więc przepisy o małżeńskich ustrojach majątkowych. Tym samym jeżeli osoby partnerskie łączyła rozdzielność majątkowa, to zastosowanie znajdzie do nich co do zasady ustawowa wspólność majątkowa małżeńska, chyba że zawrą umowę majątkową małżeńską lub zastosowanie znajduje przymusowy ustrój majątkowy.</w:t>
      </w:r>
    </w:p>
    <w:p w14:paraId="00000049" w14:textId="77777777" w:rsidR="00B42FE5" w:rsidRDefault="00B42FE5">
      <w:pPr>
        <w:jc w:val="both"/>
        <w:rPr>
          <w:rFonts w:ascii="PT Sans Caption" w:eastAsia="PT Sans Caption" w:hAnsi="PT Sans Caption" w:cs="PT Sans Caption"/>
          <w:color w:val="9900FF"/>
          <w:sz w:val="24"/>
          <w:szCs w:val="24"/>
        </w:rPr>
      </w:pPr>
    </w:p>
    <w:p w14:paraId="0000004A"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Szczególnej regulacji wymaga natomiast sytuacja osób w związku partnerskim, które w drodze notarialnej umowy partnerskiej ustanowiły wspólność majątkową partnerską. Z chwilą zawarcia małżeństwa przez osoby pozostające ze sobą w związku partnerskim ustanowiona między nimi wspólność majątkowa ulega przekształceniu we wspólność majątkową małżeńską, o której mowa w art. 31 § 1 ustawy z dnia 25 lutego 1964 r. – Kodeks Rodzinny i Opiekuńczy (Dz. U. z 2023 r. poz. 2809) na zasadach określonych w art. 31 § 3 tej ustawy. Do majątku wspólnego małżeńskiego wchodzą więc w takiej sytuacji przedmioty majątkowe wchodzące do  wspólnego majątku partnerskiego, chyba że z chwilą zawarcia małżeństwa umowa majątkowa partnerska zostałaby rozwiązana albo zawarta zostałaby umowa majątkowa małżeńska ograniczająca lub rozszerzająca wspólność ustawową, w której strony postanowiłyby inaczej.</w:t>
      </w:r>
    </w:p>
    <w:p w14:paraId="0000004B" w14:textId="77777777" w:rsidR="00B42FE5" w:rsidRDefault="00B42FE5">
      <w:pPr>
        <w:jc w:val="both"/>
        <w:rPr>
          <w:rFonts w:ascii="PT Sans Caption" w:eastAsia="PT Sans Caption" w:hAnsi="PT Sans Caption" w:cs="PT Sans Caption"/>
          <w:sz w:val="24"/>
          <w:szCs w:val="24"/>
        </w:rPr>
      </w:pPr>
    </w:p>
    <w:p w14:paraId="0000004C" w14:textId="10D24189"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 przypadku, gdy prawo do mieszkania przysługuje jednej osobie w związku partnerskim, druga z osób w związku partnerskim jest uprawniona do </w:t>
      </w:r>
      <w:r>
        <w:rPr>
          <w:rFonts w:ascii="PT Sans Caption" w:eastAsia="PT Sans Caption" w:hAnsi="PT Sans Caption" w:cs="PT Sans Caption"/>
          <w:sz w:val="24"/>
          <w:szCs w:val="24"/>
        </w:rPr>
        <w:lastRenderedPageBreak/>
        <w:t xml:space="preserve">korzystania z tego mieszkania w celu zaspokojenia potrzeb własnych, a także potrzeb dzieci, przepis ten stosuje się także do przedmiotów urządzenia domowego. Prawo to wygasa po upływie 3 miesięcy od dnia rozwiązania związku partnerskiego, chyba że osoba, która pozostawała w związku partnerskim, dobrowolnie opuści zajmowane mieszkanie. Ustanowienie takiego ustawowego terminu jest konieczne ze względu na kształt procedury rozwiązania rejestrowanego związku partnerskiego. Brak bowiem w tym wypadku orzeczenia sądu, który mógłby rozstrzygnąć kwestię korzystania z mieszkania, tak jak ma to miejsce w wyroku rozwodowym. </w:t>
      </w:r>
    </w:p>
    <w:p w14:paraId="0000004D" w14:textId="77777777" w:rsidR="00B42FE5" w:rsidRDefault="00B42FE5">
      <w:pPr>
        <w:jc w:val="both"/>
        <w:rPr>
          <w:rFonts w:ascii="PT Sans Caption" w:eastAsia="PT Sans Caption" w:hAnsi="PT Sans Caption" w:cs="PT Sans Caption"/>
          <w:sz w:val="24"/>
          <w:szCs w:val="24"/>
        </w:rPr>
      </w:pPr>
    </w:p>
    <w:p w14:paraId="0000004E"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Ustawa nie przewiduje możliwości ani adopcji zewnętrznej, ani możliwości przysposobienia dziecka/dzieci partnera/partnerki. Osoba w rejestrowanym związku partnerskim jest jednak uprawniona do uczestniczenia w sprawowaniu bieżącej pieczy nad wspólnie z nim zamieszkującym dzieckiem pozostającym pod władzą rodzicielską drugiej z osób w związku partnerskim i jego wychowaniu, chyba że sprzeciwi się temu którekolwiek z rodziców wykonujących władzę rodzicielską nad tym dzieckiem. Ustawa podkreśla, że uprawnienie to wiążę się z obowiązkiem kierowania się dobrem dziecka oraz poszanowaniem jego godności i praw. Zapis ten wynika przede wszystkim z tego, że ustawa powinna uwzględniać rosnącą liczbę rodzin zrekonstruowanych, w tym społeczny fakt sprawowania faktycznej pieczy nad dzieckiem przez osoby, które nie są jego rodzicami w świetle prawa ani nie przysługują im prawa i obowiązki rodzicielskie. Osoba w związku partnerskim, która uczestniczy w sprawowaniu pieczy nad małoletnim dzieckiem drugiej osoby w związku partnerskim, powinna mieć prawo do podejmowania decyzji w codziennych, bieżących sprawach dziecka.</w:t>
      </w:r>
    </w:p>
    <w:p w14:paraId="0000004F" w14:textId="77777777" w:rsidR="00B42FE5" w:rsidRDefault="00B42FE5">
      <w:pPr>
        <w:jc w:val="both"/>
        <w:rPr>
          <w:rFonts w:ascii="PT Sans Caption" w:eastAsia="PT Sans Caption" w:hAnsi="PT Sans Caption" w:cs="PT Sans Caption"/>
          <w:sz w:val="24"/>
          <w:szCs w:val="24"/>
        </w:rPr>
      </w:pPr>
    </w:p>
    <w:p w14:paraId="00000050"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Tego typu unormowanie zostało rekomendowane przez Komisję Europejskiego Prawa Rodzinnego (dalej: CEFL)</w:t>
      </w:r>
      <w:r>
        <w:rPr>
          <w:rFonts w:ascii="PT Sans Caption" w:eastAsia="PT Sans Caption" w:hAnsi="PT Sans Caption" w:cs="PT Sans Caption"/>
          <w:sz w:val="24"/>
          <w:szCs w:val="24"/>
          <w:vertAlign w:val="superscript"/>
        </w:rPr>
        <w:footnoteReference w:id="4"/>
      </w:r>
      <w:r>
        <w:rPr>
          <w:rFonts w:ascii="PT Sans Caption" w:eastAsia="PT Sans Caption" w:hAnsi="PT Sans Caption" w:cs="PT Sans Caption"/>
          <w:sz w:val="24"/>
          <w:szCs w:val="24"/>
        </w:rPr>
        <w:t xml:space="preserve"> w opublikowanych w 2007 r. „Zasadach europejskiego prawa rodzinnego dotyczących odpowiedzialności rodzicielskiej” (dalej: Zasady CEFL 2007)</w:t>
      </w:r>
      <w:r>
        <w:rPr>
          <w:rFonts w:ascii="PT Sans Caption" w:eastAsia="PT Sans Caption" w:hAnsi="PT Sans Caption" w:cs="PT Sans Caption"/>
          <w:sz w:val="24"/>
          <w:szCs w:val="24"/>
          <w:vertAlign w:val="superscript"/>
        </w:rPr>
        <w:footnoteReference w:id="5"/>
      </w:r>
      <w:r>
        <w:rPr>
          <w:rFonts w:ascii="PT Sans Caption" w:eastAsia="PT Sans Caption" w:hAnsi="PT Sans Caption" w:cs="PT Sans Caption"/>
          <w:sz w:val="24"/>
          <w:szCs w:val="24"/>
        </w:rPr>
        <w:t xml:space="preserve">. Zgodnie z Zasadą 3:18, „partner rodzica żyjący razem z dzieckiem może brać udział w podejmowaniu decyzji dotyczących życia codziennego, chyba że drugi rodzic sprawujący </w:t>
      </w:r>
      <w:r>
        <w:rPr>
          <w:rFonts w:ascii="PT Sans Caption" w:eastAsia="PT Sans Caption" w:hAnsi="PT Sans Caption" w:cs="PT Sans Caption"/>
          <w:sz w:val="24"/>
          <w:szCs w:val="24"/>
        </w:rPr>
        <w:lastRenderedPageBreak/>
        <w:t>odpowiedzialność rodzicielską sprzeciwia się temu”</w:t>
      </w:r>
      <w:r>
        <w:rPr>
          <w:rFonts w:ascii="PT Sans Caption" w:eastAsia="PT Sans Caption" w:hAnsi="PT Sans Caption" w:cs="PT Sans Caption"/>
          <w:sz w:val="24"/>
          <w:szCs w:val="24"/>
          <w:vertAlign w:val="superscript"/>
        </w:rPr>
        <w:footnoteReference w:id="6"/>
      </w:r>
      <w:r>
        <w:rPr>
          <w:rFonts w:ascii="PT Sans Caption" w:eastAsia="PT Sans Caption" w:hAnsi="PT Sans Caption" w:cs="PT Sans Caption"/>
          <w:sz w:val="24"/>
          <w:szCs w:val="24"/>
        </w:rPr>
        <w:t>. Rozwiązanie to jest inspirowane regulacjami niemieckimi, czeskimi i szwajcarskimi.</w:t>
      </w:r>
    </w:p>
    <w:p w14:paraId="00000051" w14:textId="77777777" w:rsidR="00B42FE5" w:rsidRDefault="00B42FE5">
      <w:pPr>
        <w:jc w:val="both"/>
        <w:rPr>
          <w:rFonts w:ascii="PT Sans Caption" w:eastAsia="PT Sans Caption" w:hAnsi="PT Sans Caption" w:cs="PT Sans Caption"/>
          <w:sz w:val="24"/>
          <w:szCs w:val="24"/>
        </w:rPr>
      </w:pPr>
    </w:p>
    <w:p w14:paraId="00000052"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Z kolei w jednym z wcześniejszych projektów ustaw o związkach partnerskich (art. 7, druk Senatu V Kadencji nr 548 z 10 grudnia 2003 r.) przewidziano następującą propozycję: „W przypadku zagrożenia zdrowia lub życia dziecka, o którym mowa w ust. 1, partner nieposiadający władzy rodzicielskiej jest zobowiązywany dokonywać wszelkich czynności jakich wymaga dobro dziecka. O podjętych czynnościach powinien niezwłocznie zawiadomić drugiego partnera” (…) „Sąd rodzinny może ograniczyć prawo określone w ust. 3, jeżeli wymaga tego dobro dziecka”.</w:t>
      </w:r>
    </w:p>
    <w:p w14:paraId="00000053" w14:textId="77777777" w:rsidR="00B42FE5" w:rsidRDefault="00B42FE5">
      <w:pPr>
        <w:jc w:val="both"/>
        <w:rPr>
          <w:rFonts w:ascii="PT Sans Caption" w:eastAsia="PT Sans Caption" w:hAnsi="PT Sans Caption" w:cs="PT Sans Caption"/>
          <w:sz w:val="24"/>
          <w:szCs w:val="24"/>
        </w:rPr>
      </w:pPr>
    </w:p>
    <w:p w14:paraId="00000054"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Zarazem na osobie w związku partnerskim sprawującej faktyczną pieczę nad dzieckiem drugiej strony związku ciąży obowiązek kierowania się dobrem dziecka oraz jego wysłuchania i uwzględnienia rozsądnych życzeń dziecka. Wynika to z Konstytucji (art. 72 Konstytucji RP). </w:t>
      </w:r>
    </w:p>
    <w:p w14:paraId="00000055" w14:textId="77777777" w:rsidR="00B42FE5" w:rsidRDefault="00B42FE5">
      <w:pPr>
        <w:jc w:val="both"/>
        <w:rPr>
          <w:rFonts w:ascii="PT Sans Caption" w:eastAsia="PT Sans Caption" w:hAnsi="PT Sans Caption" w:cs="PT Sans Caption"/>
          <w:sz w:val="24"/>
          <w:szCs w:val="24"/>
        </w:rPr>
      </w:pPr>
    </w:p>
    <w:p w14:paraId="00000056" w14:textId="54A8222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Bliski i zaangażowany charakter relacji partnerskich oraz wzięcie za siebie odpowiedzialności przez zawarcie związku uzasadniają przyznanie osobom partnerskim nie tylko uprawnień, lecz także nałożenie wzajemnych obowiązków. Poszanowanie autonomii stron w zakresie doprowadzenia do ustania związku partnerskiego – poprzez umożliwienie rozwiązania związku wyłącznie w oparciu o wolę osób, a nawet jednej osoby w związku partnerskim – powinno być równoważone przez ochronę drugiej strony związku. W szczególności, jeżeli w wyniku stanu zdrowia lub podziału obowiązków w trakcie związku lub po jego ustaniu nie może ona przejściowo własnymi siłami zaspokoić swoich usprawiedliwionych potrzeb. </w:t>
      </w:r>
    </w:p>
    <w:p w14:paraId="00000057" w14:textId="77777777" w:rsidR="00B42FE5" w:rsidRDefault="00B42FE5">
      <w:pPr>
        <w:jc w:val="both"/>
        <w:rPr>
          <w:rFonts w:ascii="PT Sans Caption" w:eastAsia="PT Sans Caption" w:hAnsi="PT Sans Caption" w:cs="PT Sans Caption"/>
          <w:color w:val="9900FF"/>
          <w:sz w:val="24"/>
          <w:szCs w:val="24"/>
        </w:rPr>
      </w:pPr>
    </w:p>
    <w:p w14:paraId="00000058"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Obowiązek alimentacyjny po ustaniu związku nie powinien być jednak oparty na przesłance pogorszenia sytuacji materialnej, lecz niezdolności do samodzielnego utrzymania. Przepisy są więc ukształtowane inaczej niż w przypadku rozwiedzionych małżonków. </w:t>
      </w:r>
    </w:p>
    <w:p w14:paraId="00000059" w14:textId="77777777" w:rsidR="00B42FE5" w:rsidRDefault="00B42FE5">
      <w:pPr>
        <w:jc w:val="both"/>
        <w:rPr>
          <w:rFonts w:ascii="PT Sans Caption" w:eastAsia="PT Sans Caption" w:hAnsi="PT Sans Caption" w:cs="PT Sans Caption"/>
          <w:sz w:val="24"/>
          <w:szCs w:val="24"/>
        </w:rPr>
      </w:pPr>
    </w:p>
    <w:p w14:paraId="0000005A"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Przez rok po ustaniu związku partnerskiego byłe osoby partnerskie będą zobowiązane do wzajemnej alimentacji, jeżeli jedna z nich znajdzie się w niedostatku. Obowiązek ten dotyczył będzie sytuacji, gdy doszło do </w:t>
      </w:r>
      <w:r>
        <w:rPr>
          <w:rFonts w:ascii="PT Sans Caption" w:eastAsia="PT Sans Caption" w:hAnsi="PT Sans Caption" w:cs="PT Sans Caption"/>
          <w:sz w:val="24"/>
          <w:szCs w:val="24"/>
        </w:rPr>
        <w:lastRenderedPageBreak/>
        <w:t xml:space="preserve">rozwiązania związku partnerskiego zarówno na mocy oświadczenia jednej ze stron jak i zgodnego oświadczenia stron. Obowiązek alimentacyjny będzie wygasał po upływie roku oraz na skutek zawarcia przez osobę uprawnioną małżeństwa lub nowego związku partnerskiego. Wygaśnięcie tego obowiązku nie będzie stanowić jednak przeszkody do wydania przez sąd rozstrzygnięcia o świadczeniach alimentacyjnych należnych za okres, w którym znajdował on zastosowanie. </w:t>
      </w:r>
    </w:p>
    <w:p w14:paraId="0000005B" w14:textId="77777777" w:rsidR="00B42FE5" w:rsidRDefault="00B42FE5">
      <w:pPr>
        <w:jc w:val="both"/>
        <w:rPr>
          <w:rFonts w:ascii="PT Sans Caption" w:eastAsia="PT Sans Caption" w:hAnsi="PT Sans Caption" w:cs="PT Sans Caption"/>
          <w:sz w:val="24"/>
          <w:szCs w:val="24"/>
        </w:rPr>
      </w:pPr>
    </w:p>
    <w:p w14:paraId="0000005C"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Odpowiednie zastosowanie powinny znajdować przepisy KRO o obowiązku alimentacyjnymi z art. 135-140 KRO art. 144</w:t>
      </w:r>
      <w:r>
        <w:rPr>
          <w:rFonts w:ascii="PT Sans Caption" w:eastAsia="PT Sans Caption" w:hAnsi="PT Sans Caption" w:cs="PT Sans Caption"/>
          <w:sz w:val="24"/>
          <w:szCs w:val="24"/>
          <w:vertAlign w:val="superscript"/>
        </w:rPr>
        <w:t>1</w:t>
      </w:r>
      <w:r>
        <w:rPr>
          <w:rFonts w:ascii="PT Sans Caption" w:eastAsia="PT Sans Caption" w:hAnsi="PT Sans Caption" w:cs="PT Sans Caption"/>
          <w:sz w:val="24"/>
          <w:szCs w:val="24"/>
        </w:rPr>
        <w:t xml:space="preserve"> </w:t>
      </w:r>
      <w:proofErr w:type="spellStart"/>
      <w:r>
        <w:rPr>
          <w:rFonts w:ascii="PT Sans Caption" w:eastAsia="PT Sans Caption" w:hAnsi="PT Sans Caption" w:cs="PT Sans Caption"/>
          <w:sz w:val="24"/>
          <w:szCs w:val="24"/>
        </w:rPr>
        <w:t>zd</w:t>
      </w:r>
      <w:proofErr w:type="spellEnd"/>
      <w:r>
        <w:rPr>
          <w:rFonts w:ascii="PT Sans Caption" w:eastAsia="PT Sans Caption" w:hAnsi="PT Sans Caption" w:cs="PT Sans Caption"/>
          <w:sz w:val="24"/>
          <w:szCs w:val="24"/>
        </w:rPr>
        <w:t>. 1 KRO, który przewiduje, że zobowiązany może uchylić się od wykonania obowiązku alimentacyjnego względem uprawnionego, jeżeli żądanie alimentów jest sprzeczne z zasadami współżycia społecznego.</w:t>
      </w:r>
    </w:p>
    <w:p w14:paraId="0000005D" w14:textId="77777777" w:rsidR="00B42FE5" w:rsidRDefault="00B42FE5">
      <w:pPr>
        <w:jc w:val="both"/>
        <w:rPr>
          <w:rFonts w:ascii="PT Sans Caption" w:eastAsia="PT Sans Caption" w:hAnsi="PT Sans Caption" w:cs="PT Sans Caption"/>
          <w:sz w:val="24"/>
          <w:szCs w:val="24"/>
        </w:rPr>
      </w:pPr>
    </w:p>
    <w:p w14:paraId="0000005E" w14:textId="77777777" w:rsidR="00B42FE5" w:rsidRDefault="00441497">
      <w:pPr>
        <w:jc w:val="both"/>
        <w:rPr>
          <w:rFonts w:ascii="PT Sans Caption" w:eastAsia="PT Sans Caption" w:hAnsi="PT Sans Caption" w:cs="PT Sans Caption"/>
          <w:sz w:val="26"/>
          <w:szCs w:val="26"/>
        </w:rPr>
      </w:pPr>
      <w:r>
        <w:rPr>
          <w:rFonts w:ascii="PT Sans Caption" w:eastAsia="PT Sans Caption" w:hAnsi="PT Sans Caption" w:cs="PT Sans Caption"/>
          <w:sz w:val="24"/>
          <w:szCs w:val="24"/>
        </w:rPr>
        <w:t>Z ważnych powodów obowiązek alimentacyjny między osobami, których związek partnerski ustał, może mieć postać świadczenia jednorazowego, w tym polegającego na zapłacie sumy pieniężnej lub przeniesieniu prawa. Takie świadczenie może umożliwić osobie uprawnionej uzyskanie odpowiednich kwalifikacji czy też rozpoczęcie działalności gospodarczej. Tego typu „kapitalizacja” świadczenia, z natury okresowego, przewidziana została w art. 447 KC.</w:t>
      </w:r>
    </w:p>
    <w:p w14:paraId="0000005F" w14:textId="77777777" w:rsidR="00B42FE5" w:rsidRDefault="00B42FE5">
      <w:pPr>
        <w:jc w:val="both"/>
        <w:rPr>
          <w:rFonts w:ascii="PT Sans Caption" w:eastAsia="PT Sans Caption" w:hAnsi="PT Sans Caption" w:cs="PT Sans Caption"/>
          <w:sz w:val="24"/>
          <w:szCs w:val="24"/>
        </w:rPr>
      </w:pPr>
    </w:p>
    <w:p w14:paraId="00000060"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zakłada, że rejestrowany związek partnerski ustaje w przypadku śmierci jednej z osób w związku partnerskim; uznania jednej z osób w związku partnerskim za zmarłą; unieważnienia związku partnerskiego; rozwiązania związku partnerskiego; zawarcia małżeństwa przez osoby, które zawarły ze sobą związek partnerski. Ustawa reguluje, że rejestrowany związek partnerski może zostać unieważniony, jeśli doszło do zawarcia związku partnerskiego pomimo istnienia okoliczności wyłączających możliwość jego zawarcia.</w:t>
      </w:r>
    </w:p>
    <w:p w14:paraId="00000061" w14:textId="77777777" w:rsidR="00B42FE5" w:rsidRDefault="00B42FE5">
      <w:pPr>
        <w:jc w:val="both"/>
        <w:rPr>
          <w:rFonts w:ascii="PT Sans Caption" w:eastAsia="PT Sans Caption" w:hAnsi="PT Sans Caption" w:cs="PT Sans Caption"/>
          <w:sz w:val="24"/>
          <w:szCs w:val="24"/>
        </w:rPr>
      </w:pPr>
    </w:p>
    <w:p w14:paraId="00000062" w14:textId="77777777" w:rsidR="00B42FE5" w:rsidRDefault="00441497">
      <w:pPr>
        <w:jc w:val="both"/>
        <w:rPr>
          <w:rFonts w:ascii="PT Sans Caption" w:eastAsia="PT Sans Caption" w:hAnsi="PT Sans Caption" w:cs="PT Sans Caption"/>
          <w:i/>
          <w:sz w:val="24"/>
          <w:szCs w:val="24"/>
        </w:rPr>
      </w:pPr>
      <w:r>
        <w:rPr>
          <w:rFonts w:ascii="PT Sans Caption" w:eastAsia="PT Sans Caption" w:hAnsi="PT Sans Caption" w:cs="PT Sans Caption"/>
          <w:sz w:val="24"/>
          <w:szCs w:val="24"/>
        </w:rPr>
        <w:t xml:space="preserve">Procedura ustania związku partnerskiego powinna korespondować z procedurą jego zawierania, stanowi więc odzwierciedlenie elastycznego charakteru związku, który oparty jest na autonomii woli każdej ze stron co do chęci pozostawania w nim, a tym samym powierzenia im pełnej decyzyjności co do jego zakończenia. Z tego względu decyzja o ustaniu związku powinna należeć – co do zasady – wyłącznie do osób partnerskich tworzących taki związek. Każda z nich powinna mieć własne uprawnienie do złożenia oświadczenia prowadzącego do ustania związku. Ważne jednak, aby </w:t>
      </w:r>
      <w:r>
        <w:rPr>
          <w:rFonts w:ascii="PT Sans Caption" w:eastAsia="PT Sans Caption" w:hAnsi="PT Sans Caption" w:cs="PT Sans Caption"/>
          <w:sz w:val="24"/>
          <w:szCs w:val="24"/>
        </w:rPr>
        <w:lastRenderedPageBreak/>
        <w:t xml:space="preserve">procedura dawała takiej osobie partnerskiej dodatkowy czas na przemyślenie swojej decyzji i jej ewentualne cofnięcie. Przepisy przewidują też oczywiście możliwość podjęcia wspólnej decyzji o zakończeniu związku (na drodze zgodnego oświadczenia obu osób partnerskich), więc ustanie związku nie będzie wymagać angażowania sądu, tylko pozostanie w sferze autonomii stron. Rejestrowany związek partnerski jest zatem rozwiązany w następstwie złożenia kierownikowi urzędu stanu cywilnego lub konsulowi zgodnych oświadczeń woli o ustaniu związku, w odstępie nie dłuższym niż 3 dni, albo osobistego złożenia przez jedną z osób w związku partnerskim oświadczenia o jednostronnym rozwiązaniu związku przed kierownikiem urzędu stanu cywilnego lub konsulem. </w:t>
      </w:r>
    </w:p>
    <w:p w14:paraId="00000063" w14:textId="77777777" w:rsidR="00B42FE5" w:rsidRDefault="00B42FE5">
      <w:pPr>
        <w:jc w:val="both"/>
        <w:rPr>
          <w:rFonts w:ascii="PT Sans Caption" w:eastAsia="PT Sans Caption" w:hAnsi="PT Sans Caption" w:cs="PT Sans Caption"/>
          <w:sz w:val="24"/>
          <w:szCs w:val="24"/>
        </w:rPr>
      </w:pPr>
    </w:p>
    <w:p w14:paraId="00000064" w14:textId="77777777" w:rsidR="00B42FE5" w:rsidRDefault="00441497">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Różnice między rejestrowanym związkiem partnerskim a małżeństwem</w:t>
      </w:r>
    </w:p>
    <w:p w14:paraId="00000065" w14:textId="77777777" w:rsidR="00B42FE5" w:rsidRDefault="00B42FE5">
      <w:pPr>
        <w:jc w:val="both"/>
        <w:rPr>
          <w:rFonts w:ascii="PT Sans Caption" w:eastAsia="PT Sans Caption" w:hAnsi="PT Sans Caption" w:cs="PT Sans Caption"/>
          <w:sz w:val="24"/>
          <w:szCs w:val="24"/>
        </w:rPr>
      </w:pPr>
    </w:p>
    <w:p w14:paraId="00000066"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Ważnym jest podkreślenie, że rejestrowany związek partnerski w wielu miejscach różni się od małżeństwa. Przede wszystkim procedura zarejestrowania związku partnerskiego jest prostsza, bardziej elastyczna i mniej sformalizowana - także ze skróconym czasem pomiędzy złożeniem zapewnień o braku przeszkód do zawarcia związku a jego zarejestrowaniem – 14 dni (w przypadku małżeństwa - 30 dni). Nie ma też możliwości zawarcia związku partnerskiego w formie wyznaniowej ani nie ma wymogu zawierania go w formie uroczystej. Kolejną różnicą jest to, że okolicznością wyłączającą zawarcie związku partnerskiego jest wiek poniżej 18 lat i brak możliwości uzyskania sądowej zgody na zawarcie związku poniżej 18 roku życia. Rejestrowany związek partnerski nie tworzy też </w:t>
      </w:r>
      <w:proofErr w:type="spellStart"/>
      <w:r>
        <w:rPr>
          <w:rFonts w:ascii="PT Sans Caption" w:eastAsia="PT Sans Caption" w:hAnsi="PT Sans Caption" w:cs="PT Sans Caption"/>
          <w:sz w:val="24"/>
          <w:szCs w:val="24"/>
        </w:rPr>
        <w:t>powinnowactwa</w:t>
      </w:r>
      <w:proofErr w:type="spellEnd"/>
      <w:r>
        <w:rPr>
          <w:rFonts w:ascii="PT Sans Caption" w:eastAsia="PT Sans Caption" w:hAnsi="PT Sans Caption" w:cs="PT Sans Caption"/>
          <w:sz w:val="24"/>
          <w:szCs w:val="24"/>
        </w:rPr>
        <w:t xml:space="preserve">, czyli więzi prawnej między partnerami/partnerkami, a krewnymi partnera/partnerki. Ustawa o rejestrowanych związkach partnerskich wprowadza też nowy stan cywilny, chociaż związek partnerski jest formą bardziej elastyczną niż małżeństwo w kontekście sposobu organizowania wspólnego życia (ograniczony katalog praw i obowiązków w stosunku do praw i obowiązków małżonków, zastąpienie pojęć “wspólne pożycie” i “wspólne życie” pojęciem "tworzenie związku" i "pozostawanie w związku"). W rejestrowanych związkach partnerskich domyślną formą stosunków majątkowych między partnerami jest rozdzielność majątkowa, a nie - jak w przypadku małżeństwa - wspólność majątkowa małżeńska. Nie jest też możliwa wspólna adopcja zewnętrzna dzieci przez osoby będące w rejestrowanym związku partnerskim, ani nie jest też możliwe przysposobienie wewnętrzne dziecka osoby w związku partnerskim. W rejestrowanych związkach partnerskich nie ma też, jak w małżeństwie, domniemania rodzicielstwa - jeśli dziecko urodzi </w:t>
      </w:r>
      <w:r>
        <w:rPr>
          <w:rFonts w:ascii="PT Sans Caption" w:eastAsia="PT Sans Caption" w:hAnsi="PT Sans Caption" w:cs="PT Sans Caption"/>
          <w:sz w:val="24"/>
          <w:szCs w:val="24"/>
        </w:rPr>
        <w:lastRenderedPageBreak/>
        <w:t>się w trakcie trwania związku partnerskiego, ojciec musi je uznać w urzędzie stanu cywilnego. Partner/partnerka rodzica nie ma prawa wykonywania władzy rodzicielskiej - może jedynie podejmować decyzje dotyczące życia codziennego dziecka. Także ustanie rejestrowanego związku partnerskiego różni się od ustania małżeństwa. Związek partnerski ustaje bez wyroku sądu rozwodowego, na zgodny wniosek stron lub na wniosek jednej z osób będących w związku partnerskim. Ustanie związku nie jest zależne od wystąpienia przesłanki trwałego i zupełnego rozkładu pożycia, a także nie obejmuje orzekania o winie. Związek partnerski może być zawsze rozwiązany przez osoby partnerskie, nie ma ograniczeń. Rejestrowanych związków partnerskich nie dotyczą też przepisy o ustaleniu nieistnienia związku - możliwe jest wyłącznie unieważnienie związku partnerskiego (a więc związek partnerski ustaje dopiero w momencie orzeczenia nieważności). Nie przewidziano instytucji separacji dla związku partnerskiego.</w:t>
      </w:r>
    </w:p>
    <w:p w14:paraId="00000067" w14:textId="77777777" w:rsidR="00B42FE5" w:rsidRDefault="00B42FE5">
      <w:pPr>
        <w:jc w:val="both"/>
        <w:rPr>
          <w:rFonts w:ascii="PT Sans Caption" w:eastAsia="PT Sans Caption" w:hAnsi="PT Sans Caption" w:cs="PT Sans Caption"/>
          <w:sz w:val="24"/>
          <w:szCs w:val="24"/>
        </w:rPr>
      </w:pPr>
    </w:p>
    <w:p w14:paraId="00000068" w14:textId="77777777" w:rsidR="00B42FE5" w:rsidRDefault="00441497">
      <w:pPr>
        <w:jc w:val="both"/>
        <w:rPr>
          <w:rFonts w:ascii="PT Sans Caption" w:eastAsia="PT Sans Caption" w:hAnsi="PT Sans Caption" w:cs="PT Sans Caption"/>
          <w:b/>
          <w:sz w:val="24"/>
          <w:szCs w:val="24"/>
        </w:rPr>
      </w:pPr>
      <w:r>
        <w:rPr>
          <w:rFonts w:ascii="PT Sans Caption" w:eastAsia="PT Sans Caption" w:hAnsi="PT Sans Caption" w:cs="PT Sans Caption"/>
          <w:b/>
          <w:sz w:val="24"/>
          <w:szCs w:val="24"/>
        </w:rPr>
        <w:t>Rola rejestrowania związków w urzędach stanu cywilnego</w:t>
      </w:r>
    </w:p>
    <w:p w14:paraId="00000069" w14:textId="77777777" w:rsidR="00B42FE5" w:rsidRDefault="00B42FE5">
      <w:pPr>
        <w:jc w:val="both"/>
        <w:rPr>
          <w:rFonts w:ascii="PT Sans Caption" w:eastAsia="PT Sans Caption" w:hAnsi="PT Sans Caption" w:cs="PT Sans Caption"/>
          <w:b/>
          <w:sz w:val="24"/>
          <w:szCs w:val="24"/>
        </w:rPr>
      </w:pPr>
    </w:p>
    <w:p w14:paraId="0000006A"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 xml:space="preserve">Ustawa zakłada rejestrowanie związku partnerskiego przez kierownika urzędu stanu cywilnego z kilku powodów. Akt zawarcia związku partnerskiego jest wpisywany do rejestru stanu cywilnego. Procedura rejestracji w urzędzie stanu cywilnego jest ściśle określona przepisami prawa, co zapewnia jednolitość postępowania w całym kraju. Dzięki takiej standaryzacji, pary będą miały pewność, że wszystkie niezbędne formalności zostaną dopełnione, a ich dane będą bezpieczne. Urzędy stanu cywilnego są wyspecjalizowane w prowadzeniu rejestrów stanu cywilnego i mają największe doświadczenie w przeprowadzaniu tego typu czynności. Akt sporządzony przez urząd stanu cywilnego ma pełną moc prawną i jest bardziej odporny na ewentualne wady formalne. Podsumowując, wprowadzenie nowego stanu cywilnego i wymóg zawierania związku partnerskiego przed kierownikiem urzędu stanu cywilnego jest procedurą prostszą i tańszą. Wymagać będzie niektórych zmian teleinformatycznych, a nie tworzenia całkowicie nowego rejestru i przerzucania obowiązku z urzędów państwowych na inne podmioty, np. notariuszy. </w:t>
      </w:r>
    </w:p>
    <w:p w14:paraId="0000006B" w14:textId="77777777" w:rsidR="00B42FE5" w:rsidRDefault="00B42FE5">
      <w:pPr>
        <w:jc w:val="both"/>
        <w:rPr>
          <w:rFonts w:ascii="PT Sans Caption" w:eastAsia="PT Sans Caption" w:hAnsi="PT Sans Caption" w:cs="PT Sans Caption"/>
          <w:sz w:val="24"/>
          <w:szCs w:val="24"/>
        </w:rPr>
      </w:pPr>
    </w:p>
    <w:p w14:paraId="7F605128" w14:textId="77777777" w:rsidR="00473D5C" w:rsidRDefault="00473D5C" w:rsidP="00473D5C">
      <w:pPr>
        <w:spacing w:after="120"/>
        <w:jc w:val="both"/>
        <w:rPr>
          <w:rFonts w:ascii="PT Sans Caption" w:eastAsia="PT Sans Caption" w:hAnsi="PT Sans Caption" w:cs="PT Sans Caption"/>
          <w:sz w:val="24"/>
          <w:szCs w:val="24"/>
        </w:rPr>
      </w:pPr>
      <w:r w:rsidRPr="00896943">
        <w:rPr>
          <w:rFonts w:ascii="PT Sans Caption" w:eastAsia="PT Sans Caption" w:hAnsi="PT Sans Caption" w:cs="PT Sans Caption"/>
          <w:sz w:val="24"/>
          <w:szCs w:val="24"/>
        </w:rPr>
        <w:t>Zakłada się, że projekt wejdzie w życie w terminie i na zasadach określonych w ustawie z dnia … – Przepisy wprowadzające ustawę o związkach partnerskich.</w:t>
      </w:r>
    </w:p>
    <w:p w14:paraId="6D53FEB5" w14:textId="77777777" w:rsidR="00BB1791" w:rsidRDefault="00BB1791">
      <w:pPr>
        <w:jc w:val="both"/>
        <w:rPr>
          <w:rFonts w:ascii="PT Sans Caption" w:eastAsia="PT Sans Caption" w:hAnsi="PT Sans Caption" w:cs="PT Sans Caption"/>
          <w:sz w:val="24"/>
          <w:szCs w:val="24"/>
        </w:rPr>
      </w:pPr>
    </w:p>
    <w:p w14:paraId="0000006C"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lastRenderedPageBreak/>
        <w:t>Przedkładany projekt ustawy jest zgodny z prawem Unii Europejskiej.</w:t>
      </w:r>
    </w:p>
    <w:p w14:paraId="0000006D" w14:textId="77777777" w:rsidR="00B42FE5" w:rsidRDefault="00B42FE5">
      <w:pPr>
        <w:jc w:val="both"/>
        <w:rPr>
          <w:rFonts w:ascii="PT Sans Caption" w:eastAsia="PT Sans Caption" w:hAnsi="PT Sans Caption" w:cs="PT Sans Caption"/>
          <w:sz w:val="24"/>
          <w:szCs w:val="24"/>
        </w:rPr>
      </w:pPr>
    </w:p>
    <w:p w14:paraId="0000006E" w14:textId="77777777" w:rsidR="00B42FE5" w:rsidRDefault="00441497">
      <w:pPr>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Projektowana ustawa nie podlega notyfikacji zgodnie z trybem przewidzianym w przepisach dotyczących sposobu funkcjonowania krajowego systemu notyfikacji norm i aktów prawnych.</w:t>
      </w:r>
    </w:p>
    <w:p w14:paraId="0000006F" w14:textId="77777777" w:rsidR="00B42FE5" w:rsidRDefault="00B42FE5">
      <w:pPr>
        <w:jc w:val="both"/>
        <w:rPr>
          <w:rFonts w:ascii="PT Sans Caption" w:eastAsia="PT Sans Caption" w:hAnsi="PT Sans Caption" w:cs="PT Sans Caption"/>
          <w:sz w:val="24"/>
          <w:szCs w:val="24"/>
        </w:rPr>
      </w:pPr>
    </w:p>
    <w:p w14:paraId="00000070" w14:textId="2D55266D" w:rsidR="00B42FE5" w:rsidRDefault="00441497" w:rsidP="00896943">
      <w:pPr>
        <w:spacing w:after="120"/>
        <w:jc w:val="both"/>
        <w:rPr>
          <w:rFonts w:ascii="PT Sans Caption" w:eastAsia="PT Sans Caption" w:hAnsi="PT Sans Caption" w:cs="PT Sans Caption"/>
          <w:sz w:val="24"/>
          <w:szCs w:val="24"/>
        </w:rPr>
      </w:pPr>
      <w:r>
        <w:rPr>
          <w:rFonts w:ascii="PT Sans Caption" w:eastAsia="PT Sans Caption" w:hAnsi="PT Sans Caption" w:cs="PT Sans Caption"/>
          <w:sz w:val="24"/>
          <w:szCs w:val="24"/>
        </w:rPr>
        <w:t>Projekt ustawy nie wymaga przedłożenia właściwym instytucjom i organom Unii Europejskiej</w:t>
      </w:r>
      <w:r w:rsidR="00BB1791">
        <w:rPr>
          <w:rFonts w:ascii="PT Sans Caption" w:eastAsia="PT Sans Caption" w:hAnsi="PT Sans Caption" w:cs="PT Sans Caption"/>
          <w:sz w:val="24"/>
          <w:szCs w:val="24"/>
        </w:rPr>
        <w:t xml:space="preserve">, w tym </w:t>
      </w:r>
      <w:r>
        <w:rPr>
          <w:rFonts w:ascii="PT Sans Caption" w:eastAsia="PT Sans Caption" w:hAnsi="PT Sans Caption" w:cs="PT Sans Caption"/>
          <w:sz w:val="24"/>
          <w:szCs w:val="24"/>
        </w:rPr>
        <w:t>Europejskiemu Bankowi Centralnemu</w:t>
      </w:r>
      <w:r w:rsidR="00BB1791">
        <w:rPr>
          <w:rFonts w:ascii="PT Sans Caption" w:eastAsia="PT Sans Caption" w:hAnsi="PT Sans Caption" w:cs="PT Sans Caption"/>
          <w:sz w:val="24"/>
          <w:szCs w:val="24"/>
        </w:rPr>
        <w:t>,</w:t>
      </w:r>
      <w:r>
        <w:rPr>
          <w:rFonts w:ascii="PT Sans Caption" w:eastAsia="PT Sans Caption" w:hAnsi="PT Sans Caption" w:cs="PT Sans Caption"/>
          <w:sz w:val="24"/>
          <w:szCs w:val="24"/>
        </w:rPr>
        <w:t xml:space="preserve"> w celu uzyskania opinii, dokonania</w:t>
      </w:r>
      <w:r w:rsidR="00BB1791">
        <w:rPr>
          <w:rFonts w:ascii="PT Sans Caption" w:eastAsia="PT Sans Caption" w:hAnsi="PT Sans Caption" w:cs="PT Sans Caption"/>
          <w:sz w:val="24"/>
          <w:szCs w:val="24"/>
        </w:rPr>
        <w:t xml:space="preserve"> powiadomienia,</w:t>
      </w:r>
      <w:r>
        <w:rPr>
          <w:rFonts w:ascii="PT Sans Caption" w:eastAsia="PT Sans Caption" w:hAnsi="PT Sans Caption" w:cs="PT Sans Caption"/>
          <w:sz w:val="24"/>
          <w:szCs w:val="24"/>
        </w:rPr>
        <w:t xml:space="preserve"> konsultacji </w:t>
      </w:r>
      <w:r w:rsidR="00BB1791">
        <w:rPr>
          <w:rFonts w:ascii="PT Sans Caption" w:eastAsia="PT Sans Caption" w:hAnsi="PT Sans Caption" w:cs="PT Sans Caption"/>
          <w:sz w:val="24"/>
          <w:szCs w:val="24"/>
        </w:rPr>
        <w:t>albo</w:t>
      </w:r>
      <w:r>
        <w:rPr>
          <w:rFonts w:ascii="PT Sans Caption" w:eastAsia="PT Sans Caption" w:hAnsi="PT Sans Caption" w:cs="PT Sans Caption"/>
          <w:sz w:val="24"/>
          <w:szCs w:val="24"/>
        </w:rPr>
        <w:t xml:space="preserve"> uzgodnienia. </w:t>
      </w:r>
    </w:p>
    <w:p w14:paraId="60BB5DB1" w14:textId="1615AB70" w:rsidR="00896943" w:rsidRPr="00896943" w:rsidRDefault="00896943" w:rsidP="0093254A">
      <w:pPr>
        <w:spacing w:after="120"/>
        <w:jc w:val="both"/>
        <w:rPr>
          <w:rFonts w:ascii="PT Sans Caption" w:eastAsia="PT Sans Caption" w:hAnsi="PT Sans Caption" w:cs="PT Sans Caption"/>
          <w:sz w:val="24"/>
          <w:szCs w:val="24"/>
        </w:rPr>
      </w:pPr>
    </w:p>
    <w:p w14:paraId="2B54B071" w14:textId="77777777" w:rsidR="00896943" w:rsidRPr="00896943" w:rsidRDefault="00896943" w:rsidP="0093254A">
      <w:pPr>
        <w:spacing w:after="120"/>
        <w:jc w:val="both"/>
        <w:rPr>
          <w:rFonts w:ascii="PT Sans Caption" w:eastAsia="PT Sans Caption" w:hAnsi="PT Sans Caption" w:cs="PT Sans Caption"/>
          <w:sz w:val="24"/>
          <w:szCs w:val="24"/>
        </w:rPr>
      </w:pPr>
      <w:r w:rsidRPr="00896943">
        <w:rPr>
          <w:rFonts w:ascii="PT Sans Caption" w:eastAsia="PT Sans Caption" w:hAnsi="PT Sans Caption" w:cs="PT Sans Caption"/>
          <w:sz w:val="24"/>
          <w:szCs w:val="24"/>
        </w:rPr>
        <w:t>Zgodnie z art. 5 ustawy z dnia 7 lipca 2005 r. o działalności lobbingowej w procesie stanowienia prawa (Dz. U. z 2017 r. poz. 248) oraz § 52 ust. 1 uchwały nr 190 Rady Ministrów z dnia 29 października 2013 r. − Regulamin pracy Rady Ministrów (M.P. z 2024 r. poz. 806) projekt zostanie zamieszczony na stronie podmiotowej Rządowego Centrum Legislacji, w serwisie „Rządowy Proces Legislacyjny”.</w:t>
      </w:r>
    </w:p>
    <w:p w14:paraId="11A0767A" w14:textId="4F7A32EB" w:rsidR="00896943" w:rsidRDefault="00896943" w:rsidP="0093254A">
      <w:pPr>
        <w:spacing w:after="120"/>
        <w:jc w:val="both"/>
        <w:rPr>
          <w:rFonts w:ascii="PT Sans Caption" w:eastAsia="PT Sans Caption" w:hAnsi="PT Sans Caption" w:cs="PT Sans Caption"/>
          <w:sz w:val="24"/>
          <w:szCs w:val="24"/>
        </w:rPr>
      </w:pPr>
    </w:p>
    <w:p w14:paraId="7C0D76AA" w14:textId="77777777" w:rsidR="001A40E3" w:rsidRDefault="001A40E3" w:rsidP="0093254A">
      <w:pPr>
        <w:spacing w:after="120"/>
        <w:jc w:val="both"/>
        <w:rPr>
          <w:rFonts w:ascii="PT Sans Caption" w:eastAsia="PT Sans Caption" w:hAnsi="PT Sans Caption" w:cs="PT Sans Caption"/>
          <w:sz w:val="24"/>
          <w:szCs w:val="24"/>
        </w:rPr>
      </w:pPr>
    </w:p>
    <w:p w14:paraId="3E26A052" w14:textId="77777777" w:rsidR="001A40E3" w:rsidRDefault="001A40E3" w:rsidP="001A40E3">
      <w:pPr>
        <w:pStyle w:val="ODNONIKtreodnonika"/>
        <w:rPr>
          <w:rFonts w:ascii="PT Sans Caption" w:hAnsi="PT Sans Caption"/>
        </w:rPr>
      </w:pPr>
      <w:r>
        <w:rPr>
          <w:rFonts w:ascii="PT Sans Caption" w:hAnsi="PT Sans Caption"/>
        </w:rPr>
        <w:t>ZA ZGODNOŚĆ POD WZGLĘDEM PRAWNYM,</w:t>
      </w:r>
    </w:p>
    <w:p w14:paraId="6AE13384" w14:textId="77777777" w:rsidR="001A40E3" w:rsidRDefault="001A40E3" w:rsidP="001A40E3">
      <w:pPr>
        <w:pStyle w:val="ODNONIKtreodnonika"/>
        <w:rPr>
          <w:rFonts w:ascii="PT Sans Caption" w:hAnsi="PT Sans Caption"/>
        </w:rPr>
      </w:pPr>
      <w:r>
        <w:rPr>
          <w:rFonts w:ascii="PT Sans Caption" w:hAnsi="PT Sans Caption"/>
        </w:rPr>
        <w:t>REDAKCYJNYM I LEGISLACYJNYM</w:t>
      </w:r>
    </w:p>
    <w:p w14:paraId="5C8244F7" w14:textId="77777777" w:rsidR="001A40E3" w:rsidRDefault="001A40E3" w:rsidP="001A40E3">
      <w:pPr>
        <w:pStyle w:val="ODNONIKtreodnonika"/>
        <w:rPr>
          <w:rFonts w:ascii="PT Sans Caption" w:hAnsi="PT Sans Caption"/>
        </w:rPr>
      </w:pPr>
      <w:r>
        <w:rPr>
          <w:rFonts w:ascii="PT Sans Caption" w:hAnsi="PT Sans Caption"/>
        </w:rPr>
        <w:t>Aleksandra Ziuzia</w:t>
      </w:r>
    </w:p>
    <w:p w14:paraId="0C9C94DF" w14:textId="77777777" w:rsidR="001A40E3" w:rsidRDefault="001A40E3" w:rsidP="001A40E3">
      <w:pPr>
        <w:pStyle w:val="ODNONIKtreodnonika"/>
        <w:rPr>
          <w:rFonts w:ascii="PT Sans Caption" w:hAnsi="PT Sans Caption"/>
        </w:rPr>
      </w:pPr>
      <w:r>
        <w:rPr>
          <w:rFonts w:ascii="PT Sans Caption" w:hAnsi="PT Sans Caption"/>
        </w:rPr>
        <w:t>Zastępca dyrektora Departamentu Prawnego</w:t>
      </w:r>
    </w:p>
    <w:p w14:paraId="6E07DA05" w14:textId="77777777" w:rsidR="001A40E3" w:rsidRDefault="001A40E3" w:rsidP="001A40E3">
      <w:pPr>
        <w:pStyle w:val="ODNONIKtreodnonika"/>
        <w:rPr>
          <w:rFonts w:ascii="PT Sans Caption" w:hAnsi="PT Sans Caption"/>
        </w:rPr>
      </w:pPr>
      <w:r>
        <w:rPr>
          <w:rFonts w:ascii="PT Sans Caption" w:hAnsi="PT Sans Caption"/>
        </w:rPr>
        <w:t>w Kancelarii Prezesa Rady Ministrów</w:t>
      </w:r>
    </w:p>
    <w:p w14:paraId="3E43D5B2" w14:textId="77777777" w:rsidR="001A40E3" w:rsidRDefault="001A40E3" w:rsidP="001A40E3">
      <w:pPr>
        <w:pStyle w:val="ODNONIKtreodnonika"/>
        <w:rPr>
          <w:rFonts w:ascii="PT Sans Caption" w:hAnsi="PT Sans Caption"/>
        </w:rPr>
      </w:pPr>
      <w:r>
        <w:rPr>
          <w:rFonts w:ascii="PT Sans Caption" w:hAnsi="PT Sans Caption"/>
        </w:rPr>
        <w:t>/- podpisano elektronicznie/</w:t>
      </w:r>
    </w:p>
    <w:p w14:paraId="0B563235" w14:textId="77777777" w:rsidR="001A40E3" w:rsidRDefault="001A40E3" w:rsidP="0093254A">
      <w:pPr>
        <w:spacing w:after="120"/>
        <w:jc w:val="both"/>
        <w:rPr>
          <w:rFonts w:ascii="PT Sans Caption" w:eastAsia="PT Sans Caption" w:hAnsi="PT Sans Caption" w:cs="PT Sans Caption"/>
          <w:sz w:val="24"/>
          <w:szCs w:val="24"/>
        </w:rPr>
      </w:pPr>
    </w:p>
    <w:sectPr w:rsidR="001A40E3">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4440" w14:textId="77777777" w:rsidR="008E3B3D" w:rsidRDefault="008E3B3D">
      <w:pPr>
        <w:spacing w:line="240" w:lineRule="auto"/>
      </w:pPr>
      <w:r>
        <w:separator/>
      </w:r>
    </w:p>
  </w:endnote>
  <w:endnote w:type="continuationSeparator" w:id="0">
    <w:p w14:paraId="096404CF" w14:textId="77777777" w:rsidR="008E3B3D" w:rsidRDefault="008E3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T Sans Caption">
    <w:altName w:val="Arial"/>
    <w:charset w:val="EE"/>
    <w:family w:val="swiss"/>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E857A" w14:textId="77777777" w:rsidR="008E3B3D" w:rsidRDefault="008E3B3D">
      <w:pPr>
        <w:spacing w:line="240" w:lineRule="auto"/>
      </w:pPr>
      <w:r>
        <w:separator/>
      </w:r>
    </w:p>
  </w:footnote>
  <w:footnote w:type="continuationSeparator" w:id="0">
    <w:p w14:paraId="12E7689E" w14:textId="77777777" w:rsidR="008E3B3D" w:rsidRDefault="008E3B3D">
      <w:pPr>
        <w:spacing w:line="240" w:lineRule="auto"/>
      </w:pPr>
      <w:r>
        <w:continuationSeparator/>
      </w:r>
    </w:p>
  </w:footnote>
  <w:footnote w:id="1">
    <w:p w14:paraId="00000075" w14:textId="77777777" w:rsidR="00B42FE5" w:rsidRDefault="00441497">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https://tbinternet.ohchr.org/_layouts/15/treatybodyexternal/Download.aspx?symbolno=E%2FC.12%2FPOL%2FCO%2F7&amp;Lang=en</w:t>
        </w:r>
      </w:hyperlink>
    </w:p>
  </w:footnote>
  <w:footnote w:id="2">
    <w:p w14:paraId="00000074" w14:textId="77777777" w:rsidR="00B42FE5" w:rsidRDefault="00441497">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https://rm.coe.int/sixth-ecri-report-on-poland/1680ac8c62</w:t>
        </w:r>
      </w:hyperlink>
    </w:p>
  </w:footnote>
  <w:footnote w:id="3">
    <w:p w14:paraId="00000076" w14:textId="77777777" w:rsidR="00B42FE5" w:rsidRDefault="00441497">
      <w:pPr>
        <w:spacing w:line="240" w:lineRule="auto"/>
        <w:rPr>
          <w:sz w:val="20"/>
          <w:szCs w:val="20"/>
        </w:rPr>
      </w:pPr>
      <w:r>
        <w:rPr>
          <w:vertAlign w:val="superscript"/>
        </w:rPr>
        <w:footnoteRef/>
      </w:r>
      <w:r>
        <w:rPr>
          <w:sz w:val="20"/>
          <w:szCs w:val="20"/>
        </w:rPr>
        <w:t xml:space="preserve"> </w:t>
      </w:r>
      <w:hyperlink r:id="rId3">
        <w:r>
          <w:rPr>
            <w:color w:val="1155CC"/>
            <w:sz w:val="20"/>
            <w:szCs w:val="20"/>
            <w:u w:val="single"/>
          </w:rPr>
          <w:t>https://rm.coe.int/memorandum-na-temat-stygmatyzacji-osob-lgbti-w-polsce/1680a08bb4</w:t>
        </w:r>
      </w:hyperlink>
    </w:p>
  </w:footnote>
  <w:footnote w:id="4">
    <w:p w14:paraId="00000071" w14:textId="77777777" w:rsidR="00B42FE5" w:rsidRPr="00896943" w:rsidRDefault="00441497">
      <w:pPr>
        <w:spacing w:line="240" w:lineRule="auto"/>
        <w:rPr>
          <w:sz w:val="20"/>
          <w:szCs w:val="20"/>
          <w:lang w:val="en-GB"/>
        </w:rPr>
      </w:pPr>
      <w:r>
        <w:rPr>
          <w:vertAlign w:val="superscript"/>
        </w:rPr>
        <w:footnoteRef/>
      </w:r>
      <w:r w:rsidRPr="00896943">
        <w:rPr>
          <w:sz w:val="20"/>
          <w:szCs w:val="20"/>
          <w:lang w:val="en-GB"/>
        </w:rPr>
        <w:t xml:space="preserve"> </w:t>
      </w:r>
      <w:r w:rsidRPr="00896943">
        <w:rPr>
          <w:rFonts w:ascii="Times New Roman" w:eastAsia="Times New Roman" w:hAnsi="Times New Roman" w:cs="Times New Roman"/>
          <w:lang w:val="en-GB"/>
        </w:rPr>
        <w:t>Commission on European Family Law.</w:t>
      </w:r>
    </w:p>
  </w:footnote>
  <w:footnote w:id="5">
    <w:p w14:paraId="00000072" w14:textId="77777777" w:rsidR="00B42FE5" w:rsidRPr="00896943" w:rsidRDefault="00441497">
      <w:pPr>
        <w:spacing w:line="240" w:lineRule="auto"/>
        <w:rPr>
          <w:sz w:val="20"/>
          <w:szCs w:val="20"/>
          <w:lang w:val="en-GB"/>
        </w:rPr>
      </w:pPr>
      <w:r>
        <w:rPr>
          <w:vertAlign w:val="superscript"/>
        </w:rPr>
        <w:footnoteRef/>
      </w:r>
      <w:r w:rsidRPr="00896943">
        <w:rPr>
          <w:sz w:val="20"/>
          <w:szCs w:val="20"/>
          <w:lang w:val="en-GB"/>
        </w:rPr>
        <w:t xml:space="preserve"> </w:t>
      </w:r>
      <w:r w:rsidRPr="00896943">
        <w:rPr>
          <w:rFonts w:ascii="Times New Roman" w:eastAsia="Times New Roman" w:hAnsi="Times New Roman" w:cs="Times New Roman"/>
          <w:lang w:val="en-GB"/>
        </w:rPr>
        <w:t>Principles of European Family Law Regarding Parental Responsibilities:</w:t>
      </w:r>
      <w:hyperlink r:id="rId4">
        <w:r w:rsidRPr="00896943">
          <w:rPr>
            <w:rFonts w:ascii="Times New Roman" w:eastAsia="Times New Roman" w:hAnsi="Times New Roman" w:cs="Times New Roman"/>
            <w:lang w:val="en-GB"/>
          </w:rPr>
          <w:t xml:space="preserve"> </w:t>
        </w:r>
      </w:hyperlink>
      <w:hyperlink r:id="rId5">
        <w:r w:rsidRPr="00896943">
          <w:rPr>
            <w:rFonts w:ascii="Times New Roman" w:eastAsia="Times New Roman" w:hAnsi="Times New Roman" w:cs="Times New Roman"/>
            <w:color w:val="1155CC"/>
            <w:u w:val="single"/>
            <w:lang w:val="en-GB"/>
          </w:rPr>
          <w:t>http://ceflonline.net/principles/</w:t>
        </w:r>
      </w:hyperlink>
      <w:r w:rsidRPr="00896943">
        <w:rPr>
          <w:rFonts w:ascii="Times New Roman" w:eastAsia="Times New Roman" w:hAnsi="Times New Roman" w:cs="Times New Roman"/>
          <w:lang w:val="en-GB"/>
        </w:rPr>
        <w:t>.</w:t>
      </w:r>
    </w:p>
  </w:footnote>
  <w:footnote w:id="6">
    <w:p w14:paraId="00000073" w14:textId="77777777" w:rsidR="00B42FE5" w:rsidRDefault="00441497">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rPr>
        <w:t xml:space="preserve">Tłumaczenie za: E. Figura-Góralczyk, A. </w:t>
      </w:r>
      <w:proofErr w:type="spellStart"/>
      <w:r>
        <w:rPr>
          <w:rFonts w:ascii="Times New Roman" w:eastAsia="Times New Roman" w:hAnsi="Times New Roman" w:cs="Times New Roman"/>
        </w:rPr>
        <w:t>Wysocka-Bar</w:t>
      </w:r>
      <w:proofErr w:type="spellEnd"/>
      <w:r>
        <w:rPr>
          <w:rFonts w:ascii="Times New Roman" w:eastAsia="Times New Roman" w:hAnsi="Times New Roman" w:cs="Times New Roman"/>
        </w:rPr>
        <w:t xml:space="preserve">, </w:t>
      </w:r>
      <w:r>
        <w:rPr>
          <w:rFonts w:ascii="Times New Roman" w:eastAsia="Times New Roman" w:hAnsi="Times New Roman" w:cs="Times New Roman"/>
          <w:i/>
        </w:rPr>
        <w:t>Materiały. Odpowiedzialność rodzicielska (tłumaczenie)</w:t>
      </w:r>
      <w:r>
        <w:rPr>
          <w:rFonts w:ascii="Times New Roman" w:eastAsia="Times New Roman" w:hAnsi="Times New Roman" w:cs="Times New Roman"/>
        </w:rPr>
        <w:t>, „Kwartalnik Prawa Prywatnego” 2018, nr 3, s. 797.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0B7C"/>
    <w:multiLevelType w:val="multilevel"/>
    <w:tmpl w:val="90DCA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5834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E5"/>
    <w:rsid w:val="001A40E3"/>
    <w:rsid w:val="003913E8"/>
    <w:rsid w:val="00441497"/>
    <w:rsid w:val="00473D5C"/>
    <w:rsid w:val="00782721"/>
    <w:rsid w:val="00896943"/>
    <w:rsid w:val="008B4D0A"/>
    <w:rsid w:val="008E3B3D"/>
    <w:rsid w:val="008E5228"/>
    <w:rsid w:val="0093254A"/>
    <w:rsid w:val="00B42FE5"/>
    <w:rsid w:val="00BB1791"/>
    <w:rsid w:val="00CE11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0396"/>
  <w15:docId w15:val="{ACA63DE9-45D7-42A1-9B0B-2A80C3D1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Poprawka">
    <w:name w:val="Revision"/>
    <w:hidden/>
    <w:uiPriority w:val="99"/>
    <w:semiHidden/>
    <w:rsid w:val="00896943"/>
    <w:pPr>
      <w:spacing w:line="240" w:lineRule="auto"/>
    </w:pPr>
  </w:style>
  <w:style w:type="paragraph" w:customStyle="1" w:styleId="ODNONIKtreodnonika">
    <w:name w:val="ODNOŚNIK – treść odnośnika"/>
    <w:uiPriority w:val="19"/>
    <w:qFormat/>
    <w:rsid w:val="001A40E3"/>
    <w:pPr>
      <w:spacing w:line="240" w:lineRule="auto"/>
      <w:ind w:left="284" w:hanging="284"/>
      <w:jc w:val="both"/>
    </w:pPr>
    <w:rPr>
      <w:rFonts w:ascii="Times New Roman" w:eastAsiaTheme="minorEastAsia" w:hAnsi="Times New Roman"/>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03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memorandum-na-temat-stygmatyzacji-osob-lgbti-w-polsce/1680a08bb4" TargetMode="External"/><Relationship Id="rId2" Type="http://schemas.openxmlformats.org/officeDocument/2006/relationships/hyperlink" Target="https://rm.coe.int/sixth-ecri-report-on-poland/1680ac8c62" TargetMode="External"/><Relationship Id="rId1" Type="http://schemas.openxmlformats.org/officeDocument/2006/relationships/hyperlink" Target="https://tbinternet.ohchr.org/_layouts/15/treatybodyexternal/Download.aspx?symbolno=E%2FC.12%2FPOL%2FCO%2F7&amp;Lang=en" TargetMode="External"/><Relationship Id="rId5" Type="http://schemas.openxmlformats.org/officeDocument/2006/relationships/hyperlink" Target="http://ceflonline.net/principles/" TargetMode="External"/><Relationship Id="rId4" Type="http://schemas.openxmlformats.org/officeDocument/2006/relationships/hyperlink" Target="http://ceflonline.net/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5050</Words>
  <Characters>30301</Characters>
  <Application>Microsoft Office Word</Application>
  <DocSecurity>0</DocSecurity>
  <Lines>252</Lines>
  <Paragraphs>70</Paragraphs>
  <ScaleCrop>false</ScaleCrop>
  <Company>Kancelaria Prezesa Rady Ministrow</Company>
  <LinksUpToDate>false</LinksUpToDate>
  <CharactersWithSpaces>35281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Goliszek Paweł</dc:creator>
  <cp:lastModifiedBy>Ziuzia Aleksandra</cp:lastModifiedBy>
  <cp:revision>3</cp:revision>
  <dcterms:created xsi:type="dcterms:W3CDTF">2024-10-18T08:32:00Z</dcterms:created>
  <dcterms:modified xsi:type="dcterms:W3CDTF">2024-10-18T09:09:00Z</dcterms:modified>
</cp:coreProperties>
</file>